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rPr>
          <w:rFonts w:ascii="宋体" w:hAnsi="宋体"/>
          <w:color w:val="auto"/>
          <w:sz w:val="44"/>
          <w:szCs w:val="44"/>
        </w:rPr>
      </w:pPr>
    </w:p>
    <w:p>
      <w:pPr>
        <w:spacing w:line="300" w:lineRule="auto"/>
        <w:jc w:val="center"/>
        <w:rPr>
          <w:rFonts w:ascii="黑体"/>
          <w:b/>
          <w:bCs/>
          <w:color w:val="auto"/>
          <w:sz w:val="36"/>
          <w:szCs w:val="36"/>
        </w:rPr>
      </w:pPr>
      <w:r>
        <w:rPr>
          <w:rFonts w:hint="eastAsia" w:ascii="黑体"/>
          <w:b/>
          <w:bCs/>
          <w:color w:val="auto"/>
          <w:sz w:val="36"/>
          <w:szCs w:val="36"/>
        </w:rPr>
        <w:t>芜湖全域旅游系列宣传品项目竞争性磋商文件</w:t>
      </w:r>
    </w:p>
    <w:p>
      <w:pPr>
        <w:widowControl/>
        <w:shd w:val="clear" w:color="auto" w:fill="FFFFFF"/>
        <w:wordWrap w:val="0"/>
        <w:spacing w:before="150" w:after="150"/>
        <w:ind w:left="3087" w:hanging="2890" w:hangingChars="900"/>
        <w:jc w:val="center"/>
        <w:rPr>
          <w:rFonts w:ascii="仿宋_GB2312" w:hAnsi="DotumChe" w:cs="宋体"/>
          <w:b/>
          <w:color w:val="auto"/>
          <w:spacing w:val="20"/>
          <w:sz w:val="28"/>
          <w:szCs w:val="28"/>
          <w:highlight w:val="white"/>
        </w:rPr>
      </w:pPr>
      <w:r>
        <w:rPr>
          <w:rFonts w:hint="eastAsia" w:ascii="仿宋_GB2312" w:hAnsi="DotumChe" w:cs="宋体"/>
          <w:b/>
          <w:color w:val="auto"/>
          <w:spacing w:val="20"/>
          <w:sz w:val="28"/>
          <w:szCs w:val="28"/>
          <w:highlight w:val="white"/>
        </w:rPr>
        <w:t>(项目编号：AHHP-2020006）</w:t>
      </w:r>
    </w:p>
    <w:p>
      <w:pPr>
        <w:spacing w:line="560" w:lineRule="exact"/>
        <w:jc w:val="center"/>
        <w:rPr>
          <w:rFonts w:ascii="仿宋_GB2312"/>
          <w:color w:val="auto"/>
          <w:sz w:val="28"/>
          <w:szCs w:val="28"/>
        </w:rPr>
      </w:pPr>
    </w:p>
    <w:p>
      <w:pPr>
        <w:widowControl/>
        <w:shd w:val="clear" w:color="auto" w:fill="FFFFFF"/>
        <w:wordWrap w:val="0"/>
        <w:spacing w:before="150" w:after="150"/>
        <w:jc w:val="left"/>
        <w:rPr>
          <w:rFonts w:ascii="仿宋_GB2312" w:hAnsi="宋体" w:cs="宋体"/>
          <w:b/>
          <w:color w:val="auto"/>
          <w:spacing w:val="20"/>
          <w:sz w:val="28"/>
          <w:szCs w:val="28"/>
          <w:highlight w:val="white"/>
        </w:rPr>
      </w:pPr>
    </w:p>
    <w:p>
      <w:pPr>
        <w:widowControl/>
        <w:shd w:val="clear" w:color="auto" w:fill="FFFFFF"/>
        <w:wordWrap w:val="0"/>
        <w:spacing w:before="150" w:after="150"/>
        <w:jc w:val="left"/>
        <w:rPr>
          <w:rFonts w:ascii="仿宋_GB2312" w:hAnsi="宋体" w:cs="宋体"/>
          <w:b/>
          <w:color w:val="auto"/>
          <w:spacing w:val="20"/>
          <w:sz w:val="28"/>
          <w:szCs w:val="28"/>
          <w:highlight w:val="white"/>
        </w:rPr>
      </w:pPr>
    </w:p>
    <w:p>
      <w:pPr>
        <w:widowControl/>
        <w:shd w:val="clear" w:color="auto" w:fill="FFFFFF"/>
        <w:wordWrap w:val="0"/>
        <w:spacing w:before="150" w:after="150"/>
        <w:jc w:val="left"/>
        <w:rPr>
          <w:rFonts w:ascii="仿宋_GB2312" w:hAnsi="宋体" w:cs="宋体"/>
          <w:b/>
          <w:color w:val="auto"/>
          <w:spacing w:val="20"/>
          <w:sz w:val="28"/>
          <w:szCs w:val="28"/>
        </w:rPr>
      </w:pPr>
      <w:r>
        <w:rPr>
          <w:rFonts w:hint="eastAsia" w:ascii="仿宋_GB2312" w:hAnsi="DotumChe" w:cs="宋体"/>
          <w:b/>
          <w:color w:val="auto"/>
          <w:spacing w:val="20"/>
          <w:sz w:val="28"/>
          <w:szCs w:val="28"/>
          <w:highlight w:val="white"/>
        </w:rPr>
        <w:t xml:space="preserve">          采 购 人：</w:t>
      </w:r>
      <w:r>
        <w:rPr>
          <w:rFonts w:hint="eastAsia" w:ascii="仿宋_GB2312"/>
          <w:b/>
          <w:color w:val="auto"/>
          <w:sz w:val="28"/>
          <w:szCs w:val="28"/>
        </w:rPr>
        <w:t>芜湖市文化和旅游局</w:t>
      </w:r>
    </w:p>
    <w:p>
      <w:pPr>
        <w:spacing w:line="480" w:lineRule="auto"/>
        <w:jc w:val="left"/>
        <w:rPr>
          <w:rFonts w:ascii="仿宋_GB2312"/>
          <w:b/>
          <w:color w:val="auto"/>
          <w:sz w:val="28"/>
          <w:szCs w:val="28"/>
        </w:rPr>
      </w:pPr>
      <w:r>
        <w:rPr>
          <w:rFonts w:hint="eastAsia" w:ascii="仿宋_GB2312"/>
          <w:b/>
          <w:color w:val="auto"/>
          <w:sz w:val="28"/>
          <w:szCs w:val="28"/>
        </w:rPr>
        <w:t xml:space="preserve">           采购代理机构：合普项目管理咨询集团有限公司</w:t>
      </w:r>
    </w:p>
    <w:p>
      <w:pPr>
        <w:spacing w:line="560" w:lineRule="exact"/>
        <w:rPr>
          <w:rFonts w:ascii="仿宋_GB2312"/>
          <w:color w:val="auto"/>
          <w:sz w:val="28"/>
          <w:szCs w:val="28"/>
        </w:rPr>
      </w:pPr>
    </w:p>
    <w:p>
      <w:pPr>
        <w:spacing w:line="480" w:lineRule="auto"/>
        <w:jc w:val="center"/>
        <w:rPr>
          <w:rFonts w:ascii="仿宋_GB2312"/>
          <w:b/>
          <w:color w:val="auto"/>
          <w:sz w:val="28"/>
          <w:szCs w:val="28"/>
        </w:rPr>
      </w:pPr>
      <w:r>
        <w:rPr>
          <w:rFonts w:hint="eastAsia" w:ascii="仿宋_GB2312"/>
          <w:b/>
          <w:color w:val="auto"/>
          <w:sz w:val="28"/>
          <w:szCs w:val="28"/>
        </w:rPr>
        <w:t>2020年</w:t>
      </w:r>
      <w:r>
        <w:rPr>
          <w:rFonts w:hint="eastAsia" w:ascii="仿宋_GB2312"/>
          <w:b/>
          <w:color w:val="auto"/>
          <w:sz w:val="28"/>
          <w:szCs w:val="28"/>
          <w:lang w:val="en-US" w:eastAsia="zh-CN"/>
        </w:rPr>
        <w:t>04</w:t>
      </w:r>
      <w:r>
        <w:rPr>
          <w:rFonts w:hint="eastAsia" w:ascii="仿宋_GB2312"/>
          <w:b/>
          <w:color w:val="auto"/>
          <w:sz w:val="28"/>
          <w:szCs w:val="28"/>
        </w:rPr>
        <w:t>月</w:t>
      </w:r>
      <w:r>
        <w:rPr>
          <w:rFonts w:hint="eastAsia" w:ascii="仿宋_GB2312"/>
          <w:b/>
          <w:color w:val="auto"/>
          <w:sz w:val="28"/>
          <w:szCs w:val="28"/>
          <w:lang w:val="en-US" w:eastAsia="zh-CN"/>
        </w:rPr>
        <w:t>20</w:t>
      </w:r>
      <w:r>
        <w:rPr>
          <w:rFonts w:hint="eastAsia" w:ascii="仿宋_GB2312"/>
          <w:b/>
          <w:color w:val="auto"/>
          <w:sz w:val="28"/>
          <w:szCs w:val="28"/>
        </w:rPr>
        <w:t>日</w:t>
      </w:r>
    </w:p>
    <w:p>
      <w:pPr>
        <w:spacing w:line="560" w:lineRule="exact"/>
        <w:jc w:val="center"/>
        <w:rPr>
          <w:b/>
          <w:bCs/>
          <w:color w:val="auto"/>
          <w:sz w:val="28"/>
          <w:szCs w:val="28"/>
        </w:rPr>
      </w:pPr>
    </w:p>
    <w:p>
      <w:pPr>
        <w:spacing w:line="560" w:lineRule="exact"/>
        <w:jc w:val="center"/>
        <w:rPr>
          <w:b/>
          <w:bCs/>
          <w:color w:val="auto"/>
          <w:sz w:val="32"/>
          <w:szCs w:val="32"/>
        </w:rPr>
      </w:pPr>
      <w:r>
        <w:rPr>
          <w:b/>
          <w:bCs/>
          <w:color w:val="auto"/>
          <w:sz w:val="28"/>
          <w:szCs w:val="28"/>
        </w:rPr>
        <w:br w:type="page"/>
      </w:r>
      <w:r>
        <w:rPr>
          <w:rFonts w:hint="eastAsia"/>
          <w:b/>
          <w:bCs/>
          <w:color w:val="auto"/>
          <w:sz w:val="32"/>
          <w:szCs w:val="32"/>
        </w:rPr>
        <w:t>目   录</w:t>
      </w:r>
    </w:p>
    <w:p>
      <w:pPr>
        <w:spacing w:line="360" w:lineRule="auto"/>
        <w:ind w:firstLine="1078" w:firstLineChars="385"/>
        <w:rPr>
          <w:color w:val="auto"/>
          <w:sz w:val="28"/>
          <w:szCs w:val="36"/>
        </w:rPr>
      </w:pPr>
    </w:p>
    <w:p>
      <w:pPr>
        <w:spacing w:line="360" w:lineRule="auto"/>
        <w:ind w:firstLine="1078" w:firstLineChars="385"/>
        <w:rPr>
          <w:color w:val="auto"/>
          <w:sz w:val="28"/>
          <w:szCs w:val="36"/>
        </w:rPr>
      </w:pPr>
    </w:p>
    <w:p>
      <w:pPr>
        <w:spacing w:line="480" w:lineRule="auto"/>
        <w:ind w:firstLine="1078" w:firstLineChars="385"/>
        <w:rPr>
          <w:color w:val="auto"/>
          <w:sz w:val="28"/>
          <w:szCs w:val="28"/>
        </w:rPr>
      </w:pPr>
      <w:r>
        <w:rPr>
          <w:color w:val="auto"/>
          <w:sz w:val="28"/>
          <w:szCs w:val="36"/>
        </w:rPr>
        <w:t xml:space="preserve">第 一 章   </w:t>
      </w:r>
      <w:r>
        <w:rPr>
          <w:rFonts w:hint="eastAsia"/>
          <w:color w:val="auto"/>
          <w:sz w:val="28"/>
          <w:szCs w:val="36"/>
        </w:rPr>
        <w:t>竞争性磋商</w:t>
      </w:r>
      <w:r>
        <w:rPr>
          <w:rFonts w:hint="eastAsia"/>
          <w:color w:val="auto"/>
          <w:sz w:val="28"/>
          <w:szCs w:val="28"/>
        </w:rPr>
        <w:t>公告</w:t>
      </w:r>
    </w:p>
    <w:p>
      <w:pPr>
        <w:spacing w:line="480" w:lineRule="auto"/>
        <w:ind w:firstLine="1078" w:firstLineChars="385"/>
        <w:rPr>
          <w:color w:val="auto"/>
          <w:sz w:val="28"/>
          <w:szCs w:val="36"/>
        </w:rPr>
      </w:pPr>
      <w:r>
        <w:rPr>
          <w:color w:val="auto"/>
          <w:sz w:val="28"/>
          <w:szCs w:val="36"/>
        </w:rPr>
        <w:t>第</w:t>
      </w:r>
      <w:r>
        <w:rPr>
          <w:rFonts w:hint="eastAsia"/>
          <w:color w:val="auto"/>
          <w:sz w:val="28"/>
          <w:szCs w:val="36"/>
        </w:rPr>
        <w:t xml:space="preserve"> </w:t>
      </w:r>
      <w:r>
        <w:rPr>
          <w:color w:val="auto"/>
          <w:sz w:val="28"/>
          <w:szCs w:val="36"/>
        </w:rPr>
        <w:t>二</w:t>
      </w:r>
      <w:r>
        <w:rPr>
          <w:rFonts w:hint="eastAsia"/>
          <w:color w:val="auto"/>
          <w:sz w:val="28"/>
          <w:szCs w:val="36"/>
        </w:rPr>
        <w:t xml:space="preserve"> </w:t>
      </w:r>
      <w:r>
        <w:rPr>
          <w:color w:val="auto"/>
          <w:sz w:val="28"/>
          <w:szCs w:val="36"/>
        </w:rPr>
        <w:t>章  </w:t>
      </w:r>
      <w:r>
        <w:rPr>
          <w:rFonts w:hint="eastAsia"/>
          <w:color w:val="auto"/>
          <w:sz w:val="28"/>
          <w:szCs w:val="36"/>
        </w:rPr>
        <w:t xml:space="preserve">  竞争性磋商须知</w:t>
      </w:r>
    </w:p>
    <w:p>
      <w:pPr>
        <w:spacing w:line="480" w:lineRule="auto"/>
        <w:ind w:firstLine="1078" w:firstLineChars="385"/>
        <w:rPr>
          <w:color w:val="auto"/>
          <w:sz w:val="28"/>
          <w:szCs w:val="36"/>
        </w:rPr>
      </w:pPr>
      <w:r>
        <w:rPr>
          <w:rFonts w:hint="eastAsia"/>
          <w:color w:val="auto"/>
          <w:sz w:val="28"/>
          <w:szCs w:val="36"/>
        </w:rPr>
        <w:t>第 三 章   政府采购合同</w:t>
      </w:r>
    </w:p>
    <w:p>
      <w:pPr>
        <w:spacing w:line="480" w:lineRule="auto"/>
        <w:ind w:firstLine="1078" w:firstLineChars="385"/>
        <w:rPr>
          <w:color w:val="auto"/>
          <w:sz w:val="28"/>
          <w:szCs w:val="36"/>
        </w:rPr>
      </w:pPr>
      <w:r>
        <w:rPr>
          <w:color w:val="auto"/>
          <w:sz w:val="28"/>
          <w:szCs w:val="36"/>
        </w:rPr>
        <w:t xml:space="preserve">第 </w:t>
      </w:r>
      <w:r>
        <w:rPr>
          <w:rFonts w:hint="eastAsia"/>
          <w:color w:val="auto"/>
          <w:sz w:val="28"/>
          <w:szCs w:val="36"/>
        </w:rPr>
        <w:t>四</w:t>
      </w:r>
      <w:r>
        <w:rPr>
          <w:color w:val="auto"/>
          <w:sz w:val="28"/>
          <w:szCs w:val="36"/>
        </w:rPr>
        <w:t xml:space="preserve"> 章   </w:t>
      </w:r>
      <w:r>
        <w:rPr>
          <w:rFonts w:hint="eastAsia"/>
          <w:color w:val="auto"/>
          <w:sz w:val="28"/>
          <w:szCs w:val="36"/>
        </w:rPr>
        <w:t xml:space="preserve"> 采购项目需求及具体要求</w:t>
      </w:r>
    </w:p>
    <w:p>
      <w:pPr>
        <w:spacing w:line="480" w:lineRule="auto"/>
        <w:ind w:firstLine="1078" w:firstLineChars="385"/>
        <w:rPr>
          <w:color w:val="auto"/>
          <w:sz w:val="28"/>
          <w:szCs w:val="36"/>
        </w:rPr>
      </w:pPr>
      <w:r>
        <w:rPr>
          <w:rFonts w:hint="eastAsia"/>
          <w:color w:val="auto"/>
          <w:sz w:val="28"/>
          <w:szCs w:val="36"/>
        </w:rPr>
        <w:t>第 五 章   评审程序、方法及标准</w:t>
      </w:r>
    </w:p>
    <w:p>
      <w:pPr>
        <w:spacing w:line="480" w:lineRule="auto"/>
        <w:ind w:firstLine="1078" w:firstLineChars="385"/>
        <w:rPr>
          <w:color w:val="auto"/>
          <w:sz w:val="28"/>
          <w:szCs w:val="28"/>
        </w:rPr>
      </w:pPr>
      <w:r>
        <w:rPr>
          <w:rFonts w:hint="eastAsia"/>
          <w:color w:val="auto"/>
          <w:sz w:val="28"/>
          <w:szCs w:val="36"/>
        </w:rPr>
        <w:t>第 六 章   响应文件格式</w:t>
      </w:r>
    </w:p>
    <w:p>
      <w:pPr>
        <w:pStyle w:val="11"/>
        <w:rPr>
          <w:color w:val="auto"/>
          <w:sz w:val="32"/>
        </w:rPr>
      </w:pPr>
    </w:p>
    <w:p>
      <w:pPr>
        <w:pStyle w:val="11"/>
        <w:rPr>
          <w:color w:val="auto"/>
          <w:sz w:val="32"/>
        </w:rPr>
      </w:pPr>
    </w:p>
    <w:p>
      <w:pPr>
        <w:pStyle w:val="11"/>
        <w:rPr>
          <w:color w:val="auto"/>
          <w:sz w:val="32"/>
        </w:rPr>
      </w:pPr>
    </w:p>
    <w:p>
      <w:pPr>
        <w:pStyle w:val="11"/>
        <w:rPr>
          <w:color w:val="auto"/>
          <w:sz w:val="32"/>
        </w:rPr>
      </w:pPr>
    </w:p>
    <w:p>
      <w:pPr>
        <w:pStyle w:val="11"/>
        <w:rPr>
          <w:color w:val="auto"/>
          <w:sz w:val="32"/>
        </w:rPr>
      </w:pPr>
    </w:p>
    <w:p>
      <w:pPr>
        <w:pStyle w:val="11"/>
        <w:rPr>
          <w:color w:val="auto"/>
          <w:sz w:val="32"/>
        </w:rPr>
      </w:pPr>
    </w:p>
    <w:p>
      <w:pPr>
        <w:rPr>
          <w:rFonts w:ascii="黑体" w:eastAsia="黑体"/>
          <w:color w:val="auto"/>
          <w:sz w:val="84"/>
          <w:szCs w:val="72"/>
        </w:rPr>
      </w:pPr>
    </w:p>
    <w:p>
      <w:pPr>
        <w:pStyle w:val="11"/>
        <w:spacing w:line="360" w:lineRule="exact"/>
        <w:rPr>
          <w:color w:val="auto"/>
          <w:sz w:val="30"/>
          <w:szCs w:val="30"/>
        </w:rPr>
      </w:pPr>
    </w:p>
    <w:p>
      <w:pPr>
        <w:pStyle w:val="11"/>
        <w:spacing w:line="360" w:lineRule="exact"/>
        <w:rPr>
          <w:color w:val="auto"/>
          <w:sz w:val="30"/>
          <w:szCs w:val="30"/>
        </w:rPr>
      </w:pPr>
    </w:p>
    <w:p>
      <w:pPr>
        <w:pStyle w:val="11"/>
        <w:spacing w:line="360" w:lineRule="exact"/>
        <w:rPr>
          <w:color w:val="auto"/>
          <w:sz w:val="30"/>
          <w:szCs w:val="30"/>
        </w:rPr>
      </w:pPr>
    </w:p>
    <w:p>
      <w:pPr>
        <w:pStyle w:val="11"/>
        <w:spacing w:line="360" w:lineRule="exact"/>
        <w:rPr>
          <w:color w:val="auto"/>
          <w:sz w:val="30"/>
          <w:szCs w:val="30"/>
        </w:rPr>
      </w:pPr>
    </w:p>
    <w:p>
      <w:pPr>
        <w:pStyle w:val="11"/>
        <w:spacing w:line="360" w:lineRule="exact"/>
        <w:rPr>
          <w:color w:val="auto"/>
          <w:sz w:val="30"/>
          <w:szCs w:val="30"/>
        </w:rPr>
      </w:pPr>
    </w:p>
    <w:p>
      <w:pPr>
        <w:pStyle w:val="11"/>
        <w:spacing w:line="360" w:lineRule="exact"/>
        <w:rPr>
          <w:color w:val="auto"/>
          <w:sz w:val="30"/>
          <w:szCs w:val="30"/>
        </w:rPr>
      </w:pPr>
    </w:p>
    <w:p>
      <w:pPr>
        <w:pStyle w:val="11"/>
        <w:numPr>
          <w:ilvl w:val="0"/>
          <w:numId w:val="1"/>
        </w:numPr>
        <w:spacing w:line="360" w:lineRule="exact"/>
        <w:jc w:val="center"/>
        <w:rPr>
          <w:color w:val="auto"/>
          <w:sz w:val="28"/>
          <w:szCs w:val="28"/>
        </w:rPr>
      </w:pPr>
      <w:r>
        <w:rPr>
          <w:rFonts w:hint="eastAsia"/>
          <w:color w:val="auto"/>
          <w:sz w:val="28"/>
          <w:szCs w:val="28"/>
        </w:rPr>
        <w:t>芜湖全域旅游系列宣传品项目竞争性磋商公告</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合普项目管理咨询集团有限公司受芜湖市文化和旅游局委托，现对芜湖全域旅游系列宣传品项目进行竞争性磋商，欢迎具备条件的国内供应商参加磋商：</w:t>
      </w:r>
    </w:p>
    <w:p>
      <w:pPr>
        <w:widowControl/>
        <w:snapToGrid w:val="0"/>
        <w:ind w:firstLine="480" w:firstLineChars="200"/>
        <w:rPr>
          <w:rFonts w:ascii="宋体" w:hAnsi="宋体" w:cs="宋体"/>
          <w:color w:val="auto"/>
          <w:kern w:val="0"/>
          <w:sz w:val="24"/>
        </w:rPr>
      </w:pPr>
      <w:r>
        <w:rPr>
          <w:rFonts w:hint="eastAsia" w:ascii="宋体" w:hAnsi="宋体" w:cs="宋体"/>
          <w:color w:val="auto"/>
          <w:kern w:val="0"/>
          <w:sz w:val="24"/>
        </w:rPr>
        <w:t>一、项目名称及内容：</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1、项目编号：AHHP-2020006</w:t>
      </w:r>
    </w:p>
    <w:p>
      <w:pPr>
        <w:ind w:firstLine="480" w:firstLineChars="200"/>
        <w:rPr>
          <w:rFonts w:ascii="宋体" w:hAnsi="宋体" w:cs="宋体"/>
          <w:color w:val="auto"/>
          <w:kern w:val="0"/>
          <w:sz w:val="24"/>
        </w:rPr>
      </w:pPr>
      <w:r>
        <w:rPr>
          <w:rFonts w:hint="eastAsia" w:ascii="宋体" w:hAnsi="宋体" w:cs="宋体"/>
          <w:color w:val="auto"/>
          <w:kern w:val="0"/>
          <w:sz w:val="24"/>
        </w:rPr>
        <w:t>2、项目名称：芜湖全域旅游系列宣传品项目</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3、项目单位：芜湖市文化和旅游局</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4、资金来源：政府性资金。</w:t>
      </w:r>
    </w:p>
    <w:p>
      <w:pPr>
        <w:widowControl/>
        <w:snapToGrid w:val="0"/>
        <w:spacing w:before="100" w:after="100"/>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5、项目预算：</w:t>
      </w:r>
      <w:r>
        <w:rPr>
          <w:rFonts w:hint="eastAsia" w:ascii="宋体" w:hAnsi="宋体" w:cs="宋体"/>
          <w:color w:val="auto"/>
          <w:kern w:val="0"/>
          <w:sz w:val="24"/>
          <w:highlight w:val="none"/>
          <w:lang w:val="en-US" w:eastAsia="zh-CN"/>
        </w:rPr>
        <w:t>999</w:t>
      </w:r>
      <w:r>
        <w:rPr>
          <w:rFonts w:hint="eastAsia" w:ascii="宋体" w:hAnsi="宋体" w:cs="宋体"/>
          <w:color w:val="auto"/>
          <w:kern w:val="0"/>
          <w:sz w:val="24"/>
          <w:highlight w:val="none"/>
        </w:rPr>
        <w:t>000.00元。</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6、标段（包别）划分：无</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 二、供应商资格：</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1、符合《中华人民共和国政府采购法》第二十二条规定。</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2、具有独立法人资格。</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3、</w:t>
      </w:r>
      <w:r>
        <w:rPr>
          <w:rFonts w:hint="eastAsia" w:ascii="宋体" w:hAnsi="宋体" w:cs="宋体"/>
          <w:color w:val="auto"/>
          <w:kern w:val="0"/>
          <w:sz w:val="24"/>
          <w:lang w:eastAsia="zh-CN"/>
        </w:rPr>
        <w:t>供应商</w:t>
      </w:r>
      <w:r>
        <w:rPr>
          <w:rFonts w:hint="eastAsia" w:ascii="宋体" w:hAnsi="宋体" w:cs="宋体"/>
          <w:color w:val="auto"/>
          <w:kern w:val="0"/>
          <w:sz w:val="24"/>
        </w:rPr>
        <w:t>资质要求：无。</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4、本项目不接受联合体磋商。</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5、本项目禁止挂靠投标，一经发现，立即取消</w:t>
      </w:r>
      <w:r>
        <w:rPr>
          <w:rFonts w:hint="eastAsia" w:ascii="宋体" w:hAnsi="宋体" w:cs="宋体"/>
          <w:color w:val="auto"/>
          <w:kern w:val="0"/>
          <w:sz w:val="24"/>
          <w:lang w:eastAsia="zh-CN"/>
        </w:rPr>
        <w:t>磋商</w:t>
      </w:r>
      <w:r>
        <w:rPr>
          <w:rFonts w:hint="eastAsia" w:ascii="宋体" w:hAnsi="宋体" w:cs="宋体"/>
          <w:color w:val="auto"/>
          <w:kern w:val="0"/>
          <w:sz w:val="24"/>
        </w:rPr>
        <w:t>资格，并列入不良记录名单。</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三、报名及磋商文件发售办法：</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1、磋商文件发售时间：2020年</w:t>
      </w:r>
      <w:r>
        <w:rPr>
          <w:rFonts w:hint="eastAsia" w:ascii="宋体" w:hAnsi="宋体" w:cs="宋体"/>
          <w:color w:val="auto"/>
          <w:kern w:val="0"/>
          <w:sz w:val="24"/>
          <w:lang w:val="en-US" w:eastAsia="zh-CN"/>
        </w:rPr>
        <w:t>04</w:t>
      </w:r>
      <w:r>
        <w:rPr>
          <w:rFonts w:hint="eastAsia" w:ascii="宋体" w:hAnsi="宋体" w:cs="宋体"/>
          <w:color w:val="auto"/>
          <w:kern w:val="0"/>
          <w:sz w:val="24"/>
        </w:rPr>
        <w:t>月</w:t>
      </w:r>
      <w:r>
        <w:rPr>
          <w:rFonts w:hint="eastAsia" w:ascii="宋体" w:hAnsi="宋体" w:cs="宋体"/>
          <w:color w:val="auto"/>
          <w:kern w:val="0"/>
          <w:sz w:val="24"/>
          <w:lang w:val="en-US" w:eastAsia="zh-CN"/>
        </w:rPr>
        <w:t>21</w:t>
      </w:r>
      <w:r>
        <w:rPr>
          <w:rFonts w:hint="eastAsia" w:ascii="宋体" w:hAnsi="宋体" w:cs="宋体"/>
          <w:color w:val="auto"/>
          <w:kern w:val="0"/>
          <w:sz w:val="24"/>
        </w:rPr>
        <w:t>日9:00时至2020年</w:t>
      </w:r>
      <w:r>
        <w:rPr>
          <w:rFonts w:hint="eastAsia" w:ascii="宋体" w:hAnsi="宋体" w:cs="宋体"/>
          <w:color w:val="auto"/>
          <w:kern w:val="0"/>
          <w:sz w:val="24"/>
          <w:lang w:val="en-US" w:eastAsia="zh-CN"/>
        </w:rPr>
        <w:t>04</w:t>
      </w:r>
      <w:r>
        <w:rPr>
          <w:rFonts w:hint="eastAsia" w:ascii="宋体" w:hAnsi="宋体" w:cs="宋体"/>
          <w:color w:val="auto"/>
          <w:kern w:val="0"/>
          <w:sz w:val="24"/>
        </w:rPr>
        <w:t>月</w:t>
      </w:r>
      <w:r>
        <w:rPr>
          <w:rFonts w:hint="eastAsia" w:ascii="宋体" w:hAnsi="宋体" w:cs="宋体"/>
          <w:color w:val="auto"/>
          <w:kern w:val="0"/>
          <w:sz w:val="24"/>
          <w:lang w:val="en-US" w:eastAsia="zh-CN"/>
        </w:rPr>
        <w:t>26</w:t>
      </w:r>
      <w:r>
        <w:rPr>
          <w:rFonts w:hint="eastAsia" w:ascii="宋体" w:hAnsi="宋体" w:cs="宋体"/>
          <w:color w:val="auto"/>
          <w:kern w:val="0"/>
          <w:sz w:val="24"/>
        </w:rPr>
        <w:t>日17:00时</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2、磋商文件价格：每套人民币100元整，磋商文件售后不退（仅开收据）。</w:t>
      </w:r>
    </w:p>
    <w:p>
      <w:pPr>
        <w:widowControl/>
        <w:snapToGrid w:val="0"/>
        <w:spacing w:before="100" w:after="100"/>
        <w:ind w:firstLine="480" w:firstLineChars="200"/>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rPr>
        <w:t>3、报名方式：</w:t>
      </w:r>
      <w:r>
        <w:rPr>
          <w:rFonts w:hint="eastAsia" w:ascii="宋体" w:hAnsi="宋体" w:eastAsia="宋体" w:cs="宋体"/>
          <w:color w:val="auto"/>
          <w:kern w:val="0"/>
          <w:sz w:val="24"/>
          <w:szCs w:val="24"/>
          <w:lang w:val="en-US" w:eastAsia="zh-CN" w:bidi="ar-SA"/>
        </w:rPr>
        <w:t>凡有意参加投标的供应商应在规定的报名时间内将</w:t>
      </w:r>
      <w:r>
        <w:rPr>
          <w:rFonts w:hint="eastAsia" w:ascii="宋体" w:hAnsi="宋体" w:eastAsia="宋体" w:cs="宋体"/>
          <w:color w:val="auto"/>
          <w:kern w:val="0"/>
          <w:sz w:val="24"/>
          <w:szCs w:val="24"/>
          <w:lang w:val="en-US" w:eastAsia="zh-CN" w:bidi="ar-SA"/>
        </w:rPr>
        <w:fldChar w:fldCharType="begin"/>
      </w:r>
      <w:r>
        <w:rPr>
          <w:rFonts w:hint="eastAsia" w:ascii="宋体" w:hAnsi="宋体" w:eastAsia="宋体" w:cs="宋体"/>
          <w:color w:val="auto"/>
          <w:kern w:val="0"/>
          <w:sz w:val="24"/>
          <w:szCs w:val="24"/>
          <w:lang w:val="en-US" w:eastAsia="zh-CN" w:bidi="ar-SA"/>
        </w:rPr>
        <w:instrText xml:space="preserve"> HYPERLINK "mailto:%E4%B8%8A%E8%BF%B0%E6%8A%A5%E5%90%8D%E8%B5%84%E6%96%99%E6%89%AB%E6%8F%8F%E4%BB%B6%E5%8F%91%E9%80%81%E8%87%B3195894445@qq.com" </w:instrText>
      </w:r>
      <w:r>
        <w:rPr>
          <w:rFonts w:hint="eastAsia" w:ascii="宋体" w:hAnsi="宋体" w:eastAsia="宋体" w:cs="宋体"/>
          <w:color w:val="auto"/>
          <w:kern w:val="0"/>
          <w:sz w:val="24"/>
          <w:szCs w:val="24"/>
          <w:lang w:val="en-US" w:eastAsia="zh-CN" w:bidi="ar-SA"/>
        </w:rPr>
        <w:fldChar w:fldCharType="separate"/>
      </w:r>
      <w:r>
        <w:rPr>
          <w:rFonts w:hint="eastAsia" w:ascii="宋体" w:hAnsi="宋体" w:eastAsia="宋体" w:cs="宋体"/>
          <w:color w:val="auto"/>
          <w:kern w:val="0"/>
          <w:sz w:val="24"/>
          <w:szCs w:val="24"/>
          <w:lang w:val="en-US" w:eastAsia="zh-CN" w:bidi="ar-SA"/>
        </w:rPr>
        <w:t>报名资料扫描件发送至</w:t>
      </w:r>
      <w:r>
        <w:rPr>
          <w:rFonts w:hint="eastAsia" w:ascii="宋体" w:hAnsi="宋体" w:cs="宋体"/>
          <w:color w:val="auto"/>
          <w:kern w:val="0"/>
          <w:sz w:val="24"/>
        </w:rPr>
        <w:t>3280512131</w:t>
      </w:r>
      <w:r>
        <w:rPr>
          <w:rFonts w:ascii="宋体" w:hAnsi="宋体" w:cs="宋体"/>
          <w:color w:val="auto"/>
          <w:kern w:val="0"/>
          <w:sz w:val="24"/>
        </w:rPr>
        <w:t>@qq.com</w:t>
      </w:r>
      <w:r>
        <w:rPr>
          <w:rFonts w:hint="eastAsia" w:ascii="宋体" w:hAnsi="宋体" w:eastAsia="宋体" w:cs="宋体"/>
          <w:color w:val="auto"/>
          <w:kern w:val="0"/>
          <w:sz w:val="24"/>
          <w:szCs w:val="24"/>
          <w:lang w:val="en-US" w:eastAsia="zh-CN" w:bidi="ar-SA"/>
        </w:rPr>
        <w:fldChar w:fldCharType="end"/>
      </w:r>
      <w:r>
        <w:rPr>
          <w:rFonts w:hint="eastAsia" w:ascii="宋体" w:hAnsi="宋体" w:eastAsia="宋体" w:cs="宋体"/>
          <w:color w:val="auto"/>
          <w:kern w:val="0"/>
          <w:sz w:val="24"/>
          <w:szCs w:val="24"/>
          <w:lang w:val="en-US" w:eastAsia="zh-CN" w:bidi="ar-SA"/>
        </w:rPr>
        <w:t>邮箱并电话告知代理机构登记报名或现场报名，报名成功由工作人员发放磋商文件电子稿。</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4、报名资料：（1）授权委托书（原件）、被授权人身份证复印件；（2）营业执照复印件；</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四、磋商时间及地点</w:t>
      </w:r>
    </w:p>
    <w:p>
      <w:pPr>
        <w:widowControl/>
        <w:snapToGrid w:val="0"/>
        <w:spacing w:before="100" w:after="100"/>
        <w:ind w:firstLine="480" w:firstLineChars="200"/>
        <w:rPr>
          <w:rFonts w:hint="default" w:ascii="宋体" w:hAnsi="宋体" w:eastAsia="宋体" w:cs="宋体"/>
          <w:color w:val="auto"/>
          <w:kern w:val="0"/>
          <w:sz w:val="24"/>
          <w:lang w:val="en-US" w:eastAsia="zh-CN"/>
        </w:rPr>
      </w:pPr>
      <w:r>
        <w:rPr>
          <w:rFonts w:hint="eastAsia" w:ascii="宋体" w:hAnsi="宋体" w:cs="宋体"/>
          <w:color w:val="auto"/>
          <w:kern w:val="0"/>
          <w:sz w:val="24"/>
        </w:rPr>
        <w:t>1、磋商时间：2020年</w:t>
      </w:r>
      <w:r>
        <w:rPr>
          <w:rFonts w:hint="eastAsia" w:ascii="宋体" w:hAnsi="宋体" w:cs="宋体"/>
          <w:color w:val="auto"/>
          <w:kern w:val="0"/>
          <w:sz w:val="24"/>
          <w:lang w:val="en-US" w:eastAsia="zh-CN"/>
        </w:rPr>
        <w:t>05</w:t>
      </w:r>
      <w:r>
        <w:rPr>
          <w:rFonts w:hint="eastAsia" w:ascii="宋体" w:hAnsi="宋体" w:cs="宋体"/>
          <w:color w:val="auto"/>
          <w:kern w:val="0"/>
          <w:sz w:val="24"/>
        </w:rPr>
        <w:t>月</w:t>
      </w:r>
      <w:r>
        <w:rPr>
          <w:rFonts w:hint="eastAsia" w:ascii="宋体" w:hAnsi="宋体" w:cs="宋体"/>
          <w:color w:val="auto"/>
          <w:kern w:val="0"/>
          <w:sz w:val="24"/>
          <w:lang w:val="en-US" w:eastAsia="zh-CN"/>
        </w:rPr>
        <w:t>07</w:t>
      </w:r>
      <w:r>
        <w:rPr>
          <w:rFonts w:hint="eastAsia" w:ascii="宋体" w:hAnsi="宋体" w:cs="宋体"/>
          <w:color w:val="auto"/>
          <w:kern w:val="0"/>
          <w:sz w:val="24"/>
        </w:rPr>
        <w:t>日</w:t>
      </w:r>
      <w:r>
        <w:rPr>
          <w:rFonts w:hint="eastAsia" w:ascii="宋体" w:hAnsi="宋体" w:cs="宋体"/>
          <w:color w:val="auto"/>
          <w:kern w:val="0"/>
          <w:sz w:val="24"/>
          <w:lang w:val="en-US" w:eastAsia="zh-CN"/>
        </w:rPr>
        <w:t>09:30</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2、磋商地点：芜湖市鸠江区城市之光写字楼B座1125室</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五、响应文件提交截止时间</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同磋商时间</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六、联系方式</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（一）项目单位：芜湖市文化和旅游局</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地址：芜湖市</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联系人：王工 </w:t>
      </w:r>
    </w:p>
    <w:p>
      <w:pPr>
        <w:widowControl/>
        <w:snapToGrid w:val="0"/>
        <w:spacing w:before="100" w:after="100"/>
        <w:ind w:firstLine="480" w:firstLineChars="200"/>
        <w:rPr>
          <w:rFonts w:hint="default" w:ascii="宋体" w:hAnsi="宋体" w:eastAsia="宋体" w:cs="宋体"/>
          <w:color w:val="auto"/>
          <w:kern w:val="0"/>
          <w:sz w:val="24"/>
          <w:lang w:val="en-US" w:eastAsia="zh-CN"/>
        </w:rPr>
      </w:pPr>
      <w:r>
        <w:rPr>
          <w:rFonts w:hint="eastAsia" w:ascii="宋体" w:hAnsi="宋体" w:cs="宋体"/>
          <w:color w:val="auto"/>
          <w:kern w:val="0"/>
          <w:sz w:val="24"/>
        </w:rPr>
        <w:t>电话：</w:t>
      </w:r>
      <w:r>
        <w:rPr>
          <w:rFonts w:hint="eastAsia" w:ascii="宋体" w:hAnsi="宋体" w:cs="宋体"/>
          <w:color w:val="auto"/>
          <w:kern w:val="0"/>
          <w:sz w:val="24"/>
          <w:lang w:bidi="ar"/>
        </w:rPr>
        <w:t>0553-38</w:t>
      </w:r>
      <w:r>
        <w:rPr>
          <w:rFonts w:hint="eastAsia" w:ascii="宋体" w:hAnsi="宋体" w:cs="宋体"/>
          <w:color w:val="auto"/>
          <w:kern w:val="0"/>
          <w:sz w:val="24"/>
          <w:lang w:val="en-US" w:eastAsia="zh-CN" w:bidi="ar"/>
        </w:rPr>
        <w:t>33639</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（二）</w:t>
      </w:r>
      <w:r>
        <w:rPr>
          <w:rFonts w:hint="eastAsia" w:ascii="宋体" w:hAnsi="宋体" w:cs="宋体"/>
          <w:color w:val="auto"/>
          <w:kern w:val="0"/>
          <w:sz w:val="24"/>
          <w:lang w:eastAsia="zh-CN"/>
        </w:rPr>
        <w:t>采购</w:t>
      </w:r>
      <w:r>
        <w:rPr>
          <w:rFonts w:hint="eastAsia" w:ascii="宋体" w:hAnsi="宋体" w:cs="宋体"/>
          <w:color w:val="auto"/>
          <w:kern w:val="0"/>
          <w:sz w:val="24"/>
        </w:rPr>
        <w:t>代理机构：合普项目管理咨询集团有限公司</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地址：芜湖市鸠江区城市之光写字楼B座1125室</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联系人：李工</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电话：15055073325</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七：其它事项说明：无</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八、磋商保证金缴纳账户</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1、所有</w:t>
      </w:r>
      <w:r>
        <w:rPr>
          <w:rFonts w:hint="eastAsia" w:ascii="宋体" w:hAnsi="宋体" w:cs="宋体"/>
          <w:color w:val="auto"/>
          <w:kern w:val="0"/>
          <w:sz w:val="24"/>
          <w:lang w:eastAsia="zh-CN"/>
        </w:rPr>
        <w:t>磋商供应商</w:t>
      </w:r>
      <w:r>
        <w:rPr>
          <w:rFonts w:hint="eastAsia" w:ascii="宋体" w:hAnsi="宋体" w:cs="宋体"/>
          <w:color w:val="auto"/>
          <w:kern w:val="0"/>
          <w:sz w:val="24"/>
        </w:rPr>
        <w:t>均需提交足额</w:t>
      </w:r>
      <w:r>
        <w:rPr>
          <w:rFonts w:hint="eastAsia" w:ascii="宋体" w:hAnsi="宋体" w:cs="宋体"/>
          <w:color w:val="auto"/>
          <w:kern w:val="0"/>
          <w:sz w:val="24"/>
          <w:lang w:eastAsia="zh-CN"/>
        </w:rPr>
        <w:t>磋商</w:t>
      </w:r>
      <w:r>
        <w:rPr>
          <w:rFonts w:hint="eastAsia" w:ascii="宋体" w:hAnsi="宋体" w:cs="宋体"/>
          <w:color w:val="auto"/>
          <w:kern w:val="0"/>
          <w:sz w:val="24"/>
        </w:rPr>
        <w:t>保证金。</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color w:val="auto"/>
          <w:kern w:val="0"/>
          <w:sz w:val="24"/>
          <w:lang w:eastAsia="zh-CN"/>
        </w:rPr>
        <w:t>磋商</w:t>
      </w:r>
      <w:r>
        <w:rPr>
          <w:rFonts w:hint="eastAsia" w:ascii="宋体" w:hAnsi="宋体" w:cs="宋体"/>
          <w:color w:val="auto"/>
          <w:kern w:val="0"/>
          <w:sz w:val="24"/>
        </w:rPr>
        <w:t>保证金的到帐截止时间为开标日前1个工作日上午10时。</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3、</w:t>
      </w:r>
      <w:r>
        <w:rPr>
          <w:rFonts w:hint="eastAsia" w:ascii="宋体" w:hAnsi="宋体" w:cs="宋体"/>
          <w:color w:val="auto"/>
          <w:kern w:val="0"/>
          <w:sz w:val="24"/>
          <w:lang w:eastAsia="zh-CN"/>
        </w:rPr>
        <w:t>磋商</w:t>
      </w:r>
      <w:r>
        <w:rPr>
          <w:rFonts w:hint="eastAsia" w:ascii="宋体" w:hAnsi="宋体" w:cs="宋体"/>
          <w:color w:val="auto"/>
          <w:kern w:val="0"/>
          <w:sz w:val="24"/>
        </w:rPr>
        <w:t>保证金必须从</w:t>
      </w:r>
      <w:r>
        <w:rPr>
          <w:rFonts w:hint="eastAsia" w:ascii="宋体" w:hAnsi="宋体" w:cs="宋体"/>
          <w:color w:val="auto"/>
          <w:kern w:val="0"/>
          <w:sz w:val="24"/>
          <w:lang w:val="en-US" w:eastAsia="zh-CN"/>
        </w:rPr>
        <w:t>供应商</w:t>
      </w:r>
      <w:r>
        <w:rPr>
          <w:rFonts w:hint="eastAsia" w:ascii="宋体" w:hAnsi="宋体" w:cs="宋体"/>
          <w:color w:val="auto"/>
          <w:kern w:val="0"/>
          <w:sz w:val="24"/>
        </w:rPr>
        <w:t>基本帐户汇入到下述指定帐户，未到达指定账户的投标恕不接受。</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4、</w:t>
      </w:r>
      <w:r>
        <w:rPr>
          <w:rFonts w:hint="eastAsia" w:ascii="宋体" w:hAnsi="宋体" w:cs="宋体"/>
          <w:color w:val="auto"/>
          <w:kern w:val="0"/>
          <w:sz w:val="24"/>
          <w:lang w:eastAsia="zh-CN"/>
        </w:rPr>
        <w:t>磋商</w:t>
      </w:r>
      <w:r>
        <w:rPr>
          <w:rFonts w:hint="eastAsia" w:ascii="宋体" w:hAnsi="宋体" w:cs="宋体"/>
          <w:color w:val="auto"/>
          <w:kern w:val="0"/>
          <w:sz w:val="24"/>
        </w:rPr>
        <w:t>保证金不得从其他账户汇出，否则拒绝其投标行为。</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本项目须缴纳金额：人民币</w:t>
      </w:r>
      <w:r>
        <w:rPr>
          <w:rFonts w:hint="eastAsia" w:ascii="宋体" w:hAnsi="宋体" w:cs="宋体"/>
          <w:color w:val="auto"/>
          <w:kern w:val="0"/>
          <w:sz w:val="24"/>
          <w:lang w:eastAsia="zh-CN"/>
        </w:rPr>
        <w:t>玖仟</w:t>
      </w:r>
      <w:r>
        <w:rPr>
          <w:rFonts w:hint="eastAsia" w:ascii="宋体" w:hAnsi="宋体" w:cs="宋体"/>
          <w:color w:val="auto"/>
          <w:kern w:val="0"/>
          <w:sz w:val="24"/>
        </w:rPr>
        <w:t>元整。</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开户单位：</w:t>
      </w:r>
      <w:r>
        <w:rPr>
          <w:rFonts w:ascii="宋体" w:hAnsi="宋体" w:cs="宋体"/>
          <w:color w:val="auto"/>
          <w:sz w:val="24"/>
        </w:rPr>
        <w:t>合普项目管理咨询集团有限公司芜湖分公司</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开户银行</w:t>
      </w:r>
      <w:r>
        <w:rPr>
          <w:rFonts w:hint="eastAsia" w:ascii="宋体" w:hAnsi="宋体" w:cs="宋体"/>
          <w:color w:val="auto"/>
          <w:sz w:val="24"/>
        </w:rPr>
        <w:t>：</w:t>
      </w:r>
      <w:r>
        <w:rPr>
          <w:rFonts w:ascii="宋体" w:hAnsi="宋体" w:cs="宋体"/>
          <w:color w:val="auto"/>
          <w:sz w:val="24"/>
        </w:rPr>
        <w:t>交行芜湖分行南瑞支行</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账号：342006014018010015217</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汇款注明：“********项目投标保证金”</w:t>
      </w:r>
    </w:p>
    <w:p>
      <w:pPr>
        <w:widowControl/>
        <w:snapToGrid w:val="0"/>
        <w:spacing w:before="100" w:after="100"/>
        <w:ind w:firstLine="480" w:firstLineChars="200"/>
        <w:rPr>
          <w:rFonts w:ascii="宋体" w:hAnsi="宋体" w:cs="宋体"/>
          <w:color w:val="auto"/>
          <w:kern w:val="0"/>
          <w:sz w:val="24"/>
        </w:rPr>
      </w:pPr>
      <w:r>
        <w:rPr>
          <w:rFonts w:hint="eastAsia" w:ascii="宋体" w:hAnsi="宋体" w:cs="宋体"/>
          <w:color w:val="auto"/>
          <w:kern w:val="0"/>
          <w:sz w:val="24"/>
        </w:rPr>
        <w:t>九、项目采购需求：详见磋商文件。</w:t>
      </w:r>
    </w:p>
    <w:p>
      <w:pPr>
        <w:widowControl/>
        <w:snapToGrid w:val="0"/>
        <w:spacing w:before="100" w:after="100"/>
        <w:ind w:firstLine="480" w:firstLineChars="200"/>
        <w:rPr>
          <w:rFonts w:ascii="宋体" w:hAnsi="宋体"/>
          <w:color w:val="auto"/>
          <w:sz w:val="24"/>
        </w:rPr>
      </w:pPr>
    </w:p>
    <w:p>
      <w:pPr>
        <w:widowControl/>
        <w:snapToGrid w:val="0"/>
        <w:spacing w:before="100" w:after="100"/>
        <w:ind w:firstLine="480" w:firstLineChars="200"/>
        <w:jc w:val="right"/>
        <w:rPr>
          <w:rFonts w:ascii="宋体" w:hAnsi="宋体" w:cs="宋体"/>
          <w:color w:val="auto"/>
          <w:kern w:val="0"/>
          <w:sz w:val="24"/>
        </w:rPr>
      </w:pPr>
      <w:r>
        <w:rPr>
          <w:rFonts w:hint="eastAsia" w:ascii="宋体" w:hAnsi="宋体" w:cs="宋体"/>
          <w:color w:val="auto"/>
          <w:kern w:val="0"/>
          <w:sz w:val="24"/>
        </w:rPr>
        <w:t>芜湖市文化和旅游局</w:t>
      </w:r>
    </w:p>
    <w:p>
      <w:pPr>
        <w:widowControl/>
        <w:snapToGrid w:val="0"/>
        <w:spacing w:before="100" w:after="100"/>
        <w:ind w:firstLine="480" w:firstLineChars="200"/>
        <w:jc w:val="right"/>
        <w:rPr>
          <w:rFonts w:ascii="宋体" w:hAnsi="宋体" w:cs="宋体"/>
          <w:color w:val="auto"/>
          <w:kern w:val="0"/>
          <w:sz w:val="24"/>
        </w:rPr>
      </w:pPr>
      <w:r>
        <w:rPr>
          <w:rFonts w:hint="eastAsia" w:ascii="宋体" w:hAnsi="宋体" w:cs="宋体"/>
          <w:color w:val="auto"/>
          <w:kern w:val="0"/>
          <w:sz w:val="24"/>
        </w:rPr>
        <w:t>合普项目管理咨询集团有限公司</w:t>
      </w:r>
    </w:p>
    <w:p>
      <w:pPr>
        <w:widowControl/>
        <w:snapToGrid w:val="0"/>
        <w:spacing w:before="100" w:after="100"/>
        <w:ind w:firstLine="480" w:firstLineChars="200"/>
        <w:jc w:val="right"/>
        <w:rPr>
          <w:rFonts w:ascii="宋体" w:hAnsi="宋体" w:cs="宋体"/>
          <w:color w:val="auto"/>
          <w:kern w:val="0"/>
          <w:sz w:val="24"/>
        </w:rPr>
      </w:pPr>
      <w:r>
        <w:rPr>
          <w:rFonts w:hint="eastAsia" w:ascii="宋体" w:hAnsi="宋体" w:cs="宋体"/>
          <w:color w:val="auto"/>
          <w:kern w:val="0"/>
          <w:sz w:val="24"/>
        </w:rPr>
        <w:t>                      2020年</w:t>
      </w:r>
      <w:r>
        <w:rPr>
          <w:rFonts w:hint="eastAsia" w:ascii="宋体" w:hAnsi="宋体" w:cs="宋体"/>
          <w:color w:val="auto"/>
          <w:kern w:val="0"/>
          <w:sz w:val="24"/>
          <w:lang w:val="en-US" w:eastAsia="zh-CN"/>
        </w:rPr>
        <w:t>04</w:t>
      </w:r>
      <w:r>
        <w:rPr>
          <w:rFonts w:hint="eastAsia" w:ascii="宋体" w:hAnsi="宋体" w:cs="宋体"/>
          <w:color w:val="auto"/>
          <w:kern w:val="0"/>
          <w:sz w:val="24"/>
        </w:rPr>
        <w:t>月</w:t>
      </w:r>
      <w:r>
        <w:rPr>
          <w:rFonts w:hint="eastAsia" w:ascii="宋体" w:hAnsi="宋体" w:cs="宋体"/>
          <w:color w:val="auto"/>
          <w:kern w:val="0"/>
          <w:sz w:val="24"/>
          <w:lang w:val="en-US" w:eastAsia="zh-CN"/>
        </w:rPr>
        <w:t>20</w:t>
      </w:r>
      <w:bookmarkStart w:id="1" w:name="_GoBack"/>
      <w:bookmarkEnd w:id="1"/>
      <w:r>
        <w:rPr>
          <w:rFonts w:hint="eastAsia" w:ascii="宋体" w:hAnsi="宋体" w:cs="宋体"/>
          <w:color w:val="auto"/>
          <w:kern w:val="0"/>
          <w:sz w:val="24"/>
        </w:rPr>
        <w:t>日</w:t>
      </w:r>
    </w:p>
    <w:p>
      <w:pPr>
        <w:widowControl/>
        <w:snapToGrid w:val="0"/>
        <w:spacing w:before="100" w:after="100" w:line="360" w:lineRule="atLeast"/>
        <w:ind w:firstLine="420"/>
        <w:jc w:val="right"/>
        <w:rPr>
          <w:rFonts w:ascii="宋体" w:hAnsi="宋体" w:cs="宋体"/>
          <w:color w:val="auto"/>
          <w:kern w:val="0"/>
          <w:sz w:val="24"/>
        </w:rPr>
      </w:pPr>
    </w:p>
    <w:p>
      <w:pPr>
        <w:spacing w:line="300" w:lineRule="auto"/>
        <w:jc w:val="center"/>
        <w:rPr>
          <w:rFonts w:ascii="宋体" w:hAnsi="宋体"/>
          <w:b/>
          <w:color w:val="auto"/>
          <w:sz w:val="32"/>
          <w:szCs w:val="32"/>
        </w:rPr>
      </w:pPr>
    </w:p>
    <w:p>
      <w:pPr>
        <w:spacing w:line="300" w:lineRule="auto"/>
        <w:jc w:val="center"/>
        <w:rPr>
          <w:rFonts w:ascii="宋体" w:hAnsi="宋体"/>
          <w:b/>
          <w:color w:val="auto"/>
          <w:sz w:val="32"/>
          <w:szCs w:val="32"/>
        </w:rPr>
      </w:pPr>
    </w:p>
    <w:p>
      <w:pPr>
        <w:spacing w:line="300" w:lineRule="auto"/>
        <w:jc w:val="center"/>
        <w:rPr>
          <w:rFonts w:ascii="宋体" w:hAnsi="宋体"/>
          <w:b/>
          <w:color w:val="auto"/>
          <w:sz w:val="32"/>
          <w:szCs w:val="32"/>
        </w:rPr>
      </w:pPr>
    </w:p>
    <w:p>
      <w:pPr>
        <w:spacing w:line="300" w:lineRule="auto"/>
        <w:jc w:val="center"/>
        <w:rPr>
          <w:rFonts w:ascii="宋体" w:hAnsi="宋体"/>
          <w:b/>
          <w:color w:val="auto"/>
          <w:sz w:val="32"/>
          <w:szCs w:val="32"/>
        </w:rPr>
      </w:pPr>
    </w:p>
    <w:p>
      <w:pPr>
        <w:spacing w:line="300" w:lineRule="auto"/>
        <w:jc w:val="center"/>
        <w:rPr>
          <w:rFonts w:ascii="宋体" w:hAnsi="宋体"/>
          <w:b/>
          <w:color w:val="auto"/>
          <w:sz w:val="32"/>
          <w:szCs w:val="32"/>
        </w:rPr>
      </w:pPr>
    </w:p>
    <w:p>
      <w:pPr>
        <w:spacing w:line="300" w:lineRule="auto"/>
        <w:jc w:val="center"/>
        <w:rPr>
          <w:rFonts w:ascii="宋体" w:hAnsi="宋体"/>
          <w:b/>
          <w:color w:val="auto"/>
          <w:sz w:val="32"/>
          <w:szCs w:val="32"/>
        </w:rPr>
      </w:pPr>
    </w:p>
    <w:p>
      <w:pPr>
        <w:spacing w:line="300" w:lineRule="auto"/>
        <w:jc w:val="center"/>
        <w:rPr>
          <w:rFonts w:ascii="宋体" w:hAnsi="宋体"/>
          <w:b/>
          <w:color w:val="auto"/>
          <w:sz w:val="32"/>
          <w:szCs w:val="32"/>
        </w:rPr>
      </w:pPr>
    </w:p>
    <w:p>
      <w:pPr>
        <w:pStyle w:val="2"/>
        <w:ind w:firstLine="693"/>
        <w:rPr>
          <w:rFonts w:ascii="宋体" w:hAnsi="宋体"/>
          <w:b/>
          <w:color w:val="auto"/>
          <w:sz w:val="32"/>
          <w:szCs w:val="32"/>
        </w:rPr>
      </w:pPr>
    </w:p>
    <w:p>
      <w:pPr>
        <w:spacing w:line="300" w:lineRule="auto"/>
        <w:rPr>
          <w:rFonts w:ascii="宋体" w:hAnsi="宋体"/>
          <w:b/>
          <w:color w:val="auto"/>
          <w:sz w:val="32"/>
          <w:szCs w:val="32"/>
        </w:rPr>
      </w:pPr>
    </w:p>
    <w:p>
      <w:pPr>
        <w:spacing w:line="300" w:lineRule="auto"/>
        <w:jc w:val="center"/>
        <w:rPr>
          <w:rFonts w:ascii="宋体" w:hAnsi="宋体"/>
          <w:b/>
          <w:bCs/>
          <w:color w:val="auto"/>
          <w:sz w:val="24"/>
        </w:rPr>
      </w:pPr>
      <w:r>
        <w:rPr>
          <w:rFonts w:hint="eastAsia" w:ascii="宋体" w:hAnsi="宋体"/>
          <w:b/>
          <w:color w:val="auto"/>
          <w:sz w:val="32"/>
          <w:szCs w:val="32"/>
        </w:rPr>
        <w:t>第二章 竞争性磋商须知</w:t>
      </w:r>
    </w:p>
    <w:p>
      <w:pPr>
        <w:spacing w:line="300" w:lineRule="auto"/>
        <w:jc w:val="center"/>
        <w:rPr>
          <w:rFonts w:ascii="宋体" w:hAnsi="宋体"/>
          <w:b/>
          <w:bCs/>
          <w:color w:val="auto"/>
          <w:sz w:val="32"/>
          <w:szCs w:val="32"/>
        </w:rPr>
      </w:pPr>
      <w:r>
        <w:rPr>
          <w:rFonts w:hint="eastAsia" w:ascii="宋体" w:hAnsi="宋体"/>
          <w:b/>
          <w:bCs/>
          <w:color w:val="auto"/>
          <w:sz w:val="32"/>
          <w:szCs w:val="32"/>
        </w:rPr>
        <w:t>一、总则</w:t>
      </w:r>
    </w:p>
    <w:p>
      <w:pPr>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1、适用范围</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1.1本竞争性磋商文件仅适用于磋商文件中所述项目的采购。</w:t>
      </w:r>
    </w:p>
    <w:p>
      <w:pPr>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2、定义</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2.1“采购人”系指本次磋商活动的采购单位，“采购代理机构”系指受采购人委托、组织本次采购工作的代理机构。</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2.2“磋商供应商”系指通过报名并提交响应文件的供应商。</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2.3“竞争性磋商文件”系指采购人向供应商发出的采购文件。</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2.4“响应文件”系指磋商供应商向采购人提交的响应文件。</w:t>
      </w:r>
    </w:p>
    <w:p>
      <w:pPr>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3、合格的磋商供应商</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Cs/>
          <w:color w:val="auto"/>
          <w:sz w:val="24"/>
        </w:rPr>
        <w:t>3.1</w:t>
      </w:r>
      <w:r>
        <w:rPr>
          <w:rFonts w:hint="eastAsia" w:asciiTheme="minorEastAsia" w:hAnsiTheme="minorEastAsia" w:eastAsiaTheme="minorEastAsia" w:cstheme="minorEastAsia"/>
          <w:color w:val="auto"/>
          <w:sz w:val="24"/>
        </w:rPr>
        <w:t>符合《中华人民共和国政府采购法》第二十二条供应商参加政府采购活动应当具备的条件及其他有关法律、法规关于供应商的有关规定，有能力提供磋商采购项目的供应商。</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3.2符合竞争性磋商文件第一章关于磋商供应商资格要求的规定。</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3.3磋商供应商应遵守《政府采购法》、《合同法》和《反不正当竞争法》等有关法律、法规。如有违反，将视为不合格磋商供应商，其响应文件无效。</w:t>
      </w:r>
    </w:p>
    <w:p>
      <w:pPr>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4</w:t>
      </w:r>
      <w:r>
        <w:rPr>
          <w:rFonts w:hint="eastAsia" w:asciiTheme="minorEastAsia" w:hAnsiTheme="minorEastAsia" w:eastAsiaTheme="minorEastAsia" w:cstheme="minorEastAsia"/>
          <w:b/>
          <w:bCs/>
          <w:color w:val="auto"/>
          <w:sz w:val="24"/>
        </w:rPr>
        <w:t>、竞争性磋商费用</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无论磋商过程中的做法和结果如何，磋商供应商自行承担所有与参加竞争性磋商有关的一切费用，采购人及采购代理机构均对上述费用不负任何责任。</w:t>
      </w:r>
    </w:p>
    <w:p>
      <w:pPr>
        <w:pStyle w:val="13"/>
        <w:spacing w:line="400" w:lineRule="exact"/>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5、法律适用</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本次竞争性磋商活动及由本次竞争性磋商产生的合同受中华人民共和国的法律制约和保护。</w:t>
      </w:r>
    </w:p>
    <w:p>
      <w:pPr>
        <w:pStyle w:val="13"/>
        <w:spacing w:line="400" w:lineRule="exact"/>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6、磋商文件的约束力</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6.1磋商供应商一旦向采购代理机构提交了其响应文件，即被认为接受了本磋商文件中的所有条款和规定，且对本磋商文件内容无异议。</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6.2磋商文件的最终解释权归采购人，当对一个问题有多种解释时，以采购人解释为准。</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6.3本文件未作须知明示而又有相关法律、法规规定的，采购人将依据有关法律、法规的规定对此解释。</w:t>
      </w:r>
    </w:p>
    <w:p>
      <w:pPr>
        <w:pStyle w:val="13"/>
        <w:spacing w:line="400" w:lineRule="exact"/>
        <w:ind w:firstLine="482" w:firstLineChars="20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二、磋商文件</w:t>
      </w:r>
    </w:p>
    <w:p>
      <w:pPr>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highlight w:val="white"/>
        </w:rPr>
        <w:t>7、竞争性磋商文件用以阐明所需货物或服务、</w:t>
      </w:r>
      <w:r>
        <w:rPr>
          <w:rFonts w:hint="eastAsia" w:asciiTheme="minorEastAsia" w:hAnsiTheme="minorEastAsia" w:eastAsiaTheme="minorEastAsia" w:cstheme="minorEastAsia"/>
          <w:b/>
          <w:color w:val="auto"/>
          <w:sz w:val="24"/>
        </w:rPr>
        <w:t>竞争性磋商程序和合同条款等。</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7.1 磋商文件组成包括：</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第一章   竞争性磋商邀请书</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第二章   竞争性磋商须知</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第三章   政府采购合同</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第四章   采购项目需求及具体要求</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第五章   评审程序、方法及标准</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第六章   响应文件格式</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7.2磋商供应商被视为（或有义务）充分熟悉本竞争性磋商项目所在地的与履行合同有关的各种情况，包括自然环境、气候条件、劳动力及公用设施等，本磋商文件不再对上述情况进行描述。</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7.3磋商供应商必须详细阅读本磋商文件的所有条款、规定及表格格式。磋商供应商若未按磋商文件的要求和规范编制和提交响应文件，将有可能导致响应文件被拒绝接受。</w:t>
      </w:r>
    </w:p>
    <w:p>
      <w:pPr>
        <w:pStyle w:val="13"/>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8、磋商文件的澄清或修改</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8.1若磋商供应商对磋商文件有疑点或异议，应以书面形式（包括传真）递交，质疑截止时间自磋商文件发出之日起7个工作日内通知采购代理机构，采购代理机构将于质疑书递交后3个工作日内以书面形式予以澄清或答复。</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8.2在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5日前，以公告的形式发布更正或补充文件；不足5日的，采购人将顺延提交首次响应文件截止时间。</w:t>
      </w:r>
    </w:p>
    <w:p>
      <w:pPr>
        <w:widowControl/>
        <w:spacing w:line="400" w:lineRule="exact"/>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三、响应文件的编制</w:t>
      </w:r>
    </w:p>
    <w:p>
      <w:pPr>
        <w:widowControl/>
        <w:spacing w:line="400" w:lineRule="exact"/>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9、供应商应仔细阅读竞争性磋商文件的所有内容，按竞争性磋商文件的要求编制和提交响应文件，并保证所提供的全部资料的真实性，以使其对竞争性磋商文件作出实质性响应。否则，响应文件可能被拒绝。</w:t>
      </w:r>
    </w:p>
    <w:p>
      <w:pPr>
        <w:widowControl/>
        <w:spacing w:line="400" w:lineRule="exact"/>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10、响应文件的语言及度量衡</w:t>
      </w:r>
    </w:p>
    <w:p>
      <w:pPr>
        <w:widowControl/>
        <w:spacing w:line="40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10.1响应文件以简体中文编制。如有外文资料，应附中文译文,并以所附的中文译文为准。</w:t>
      </w:r>
    </w:p>
    <w:p>
      <w:pPr>
        <w:widowControl/>
        <w:spacing w:line="40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10.2除磋商文件另有规定外，度量衡统一使用国际标准单位。</w:t>
      </w:r>
    </w:p>
    <w:p>
      <w:pPr>
        <w:widowControl/>
        <w:spacing w:line="400" w:lineRule="exact"/>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10.3本磋商文件表述的时间均为北京时间。</w:t>
      </w:r>
    </w:p>
    <w:p>
      <w:pPr>
        <w:widowControl/>
        <w:spacing w:line="400" w:lineRule="exac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
          <w:color w:val="auto"/>
          <w:sz w:val="24"/>
        </w:rPr>
        <w:t>11、</w:t>
      </w:r>
      <w:r>
        <w:rPr>
          <w:rFonts w:hint="eastAsia" w:asciiTheme="minorEastAsia" w:hAnsiTheme="minorEastAsia" w:eastAsiaTheme="minorEastAsia" w:cstheme="minorEastAsia"/>
          <w:b/>
          <w:bCs/>
          <w:color w:val="auto"/>
          <w:sz w:val="24"/>
        </w:rPr>
        <w:t>响应文件的组成</w:t>
      </w:r>
    </w:p>
    <w:p>
      <w:pPr>
        <w:pStyle w:val="13"/>
        <w:adjustRightInd w:val="0"/>
        <w:snapToGrid w:val="0"/>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11.1响应文件包括资质部分、商务部分、技术部分、第一次报价等内容（凡有具体格式要求详见竞争性磋商文件第六章“响应文件格式”）。</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11.2若磋商供应商未按磋商文件的要求提供资料，或未对磋商文件作出实质性响应，将视为无效投标。</w:t>
      </w:r>
    </w:p>
    <w:p>
      <w:pPr>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12、磋商报价</w:t>
      </w:r>
    </w:p>
    <w:p>
      <w:pPr>
        <w:spacing w:line="400" w:lineRule="exact"/>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12.1供应商的报价应包括本竞争性磋商文件第四章“采购项目需求及具体要求”中所列全部服务内容的价格及有关税费，包括采购项目未考虑但是项目实施过程中必要的费用，及采购项目履行过程中所需的而磋商文件中未列出的所有费用。</w:t>
      </w:r>
    </w:p>
    <w:p>
      <w:pPr>
        <w:spacing w:line="400" w:lineRule="exact"/>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12.2供应商对本项目所提供的服务采取总价报价。</w:t>
      </w:r>
    </w:p>
    <w:p>
      <w:pPr>
        <w:spacing w:line="400" w:lineRule="exact"/>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12.3供应商在磋商过程中，每个轮次只允许有一个报价。采购人不接受任何有选择的报价，报价超出预算的磋商供应商视为未实质性响应磋商文件，做无效响应处理。</w:t>
      </w:r>
    </w:p>
    <w:p>
      <w:pPr>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13、磋商的货币</w:t>
      </w:r>
    </w:p>
    <w:p>
      <w:pPr>
        <w:spacing w:line="400" w:lineRule="exact"/>
        <w:ind w:firstLine="465"/>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本次磋商的货币均以人民币为计算单位。</w:t>
      </w:r>
    </w:p>
    <w:p>
      <w:pPr>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14、磋商保证金</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14.1磋商保证金的缴纳详见磋商文件第一章。</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14.2磋商保证金是响应文件的有效组成部分，供应商未按照磋商文件要求提交磋商保证金的，响应无效</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14.3有下列情形之一的，磋商保证金不予退还：</w:t>
      </w:r>
    </w:p>
    <w:p>
      <w:pPr>
        <w:widowControl/>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（1）磋商供应商在提交响应文件截止时间后撤回响应文件的；</w:t>
      </w:r>
    </w:p>
    <w:p>
      <w:pPr>
        <w:widowControl/>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（2）磋商供应商在响应文件中提供虚假材料的；</w:t>
      </w:r>
    </w:p>
    <w:p>
      <w:pPr>
        <w:widowControl/>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（3）除因不可抗力或磋商文件认可的情形以外，成交供应商不与采购人签订合同的；</w:t>
      </w:r>
    </w:p>
    <w:p>
      <w:pPr>
        <w:widowControl/>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（4）磋商供应商与采购人、其他供应商或者采购代理机构恶意串通的；</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（5）磋商文件规定的其他情形。</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14.4磋商保证金退付</w:t>
      </w:r>
    </w:p>
    <w:p>
      <w:pPr>
        <w:pStyle w:val="13"/>
        <w:spacing w:line="400" w:lineRule="exact"/>
        <w:ind w:firstLine="360" w:firstLineChars="15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(1)成交供应商的磋商保证金退回至原账户，履约保证金请打入下方学校账户；</w:t>
      </w:r>
    </w:p>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(2)未成交供应商的磋商保证金在中标通知书发出后5个工作日内退还。</w:t>
      </w:r>
    </w:p>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15、履约保证金</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成交供应商在项目中标后，须在5个工作日内将履约保证金汇入以下保证金专户，其所缴纳的该项目磋商保证金自动转作履约保证金，不足部分需补齐差额。成交供应商凭银行转账凭证换取履约保证金收据，领取中标通知书。履约保证金金额为:本项目暂不收取。</w:t>
      </w:r>
    </w:p>
    <w:p>
      <w:pPr>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16、竞争性磋商有效期（响应文件有效期）</w:t>
      </w:r>
    </w:p>
    <w:p>
      <w:pPr>
        <w:spacing w:line="400" w:lineRule="exact"/>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16.1竞争性磋商有效期以本磋商文件第一章规定的响应文件有效期为准，有效期短于此规定的响应文件将被视为无效响应文件。</w:t>
      </w:r>
    </w:p>
    <w:p>
      <w:pPr>
        <w:spacing w:line="400" w:lineRule="exact"/>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16.2在特殊情况下，采购人可于竞争性磋商有效期满前，征得磋商供应商同意延长竞争性磋商有效期，要求与答复均以书面形式进行。磋商供应商可以拒绝接受这一要求而放弃竞争性磋商。同意这一要求的磋商供应商，无需也不允许修改其响应文件，受竞争性磋商有效期制约的所有权利和义务均应延长至新的有效期。</w:t>
      </w:r>
    </w:p>
    <w:p>
      <w:pPr>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17、响应文件的签署及形式</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17.1响应文件应按本磋商文件第六章“响应文件格式”中有关要求与格式编制，并包括应有的附件和磋商供应商认为需提供的其它资料。</w:t>
      </w:r>
    </w:p>
    <w:p>
      <w:pPr>
        <w:spacing w:line="400" w:lineRule="exact"/>
        <w:ind w:firstLine="482" w:firstLineChars="20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17.2磋商供应商均应提交一式叁份响应文件，其中正本壹份，副本贰份。每份响应文件均需在封面上清楚标明“正本”或“副本”字样。</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17.3如果“正本”和“副本”不一致时，以“正本”为准。</w:t>
      </w:r>
    </w:p>
    <w:p>
      <w:pPr>
        <w:pStyle w:val="15"/>
        <w:spacing w:after="0" w:line="400" w:lineRule="exact"/>
        <w:ind w:left="0" w:leftChars="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17.4响应文件的正本和副本均需按磋商文件要求由磋商供应商法人代表或其授权代表签字并加盖公章。</w:t>
      </w:r>
    </w:p>
    <w:p>
      <w:pPr>
        <w:pStyle w:val="15"/>
        <w:spacing w:after="0" w:line="400" w:lineRule="exact"/>
        <w:ind w:left="0" w:leftChars="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17.5授权代表参加竞争性磋商和报价并签字的，必须提供书面形式的“法人代表授权书”并附在响应文件中。</w:t>
      </w:r>
    </w:p>
    <w:p>
      <w:pPr>
        <w:pStyle w:val="15"/>
        <w:spacing w:after="0" w:line="400" w:lineRule="exact"/>
        <w:ind w:left="0" w:leftChars="0"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17.6响应文件不得行间插字、涂改或增删，如有修改错漏处，必须由法人代表或授权委托人签字或者盖章。</w:t>
      </w:r>
    </w:p>
    <w:p>
      <w:pPr>
        <w:widowControl/>
        <w:spacing w:line="400" w:lineRule="exact"/>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四、响应文件的递交</w:t>
      </w:r>
    </w:p>
    <w:p>
      <w:pPr>
        <w:widowControl/>
        <w:spacing w:line="400" w:lineRule="exact"/>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18、响应文件的密封及标记</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18.1响应文件的正本和副本密封在密封袋中，并在密封袋上标明“正本”、“副本”字样，封口处加盖磋商供应商公章。</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18.2密封袋上须注明：</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（1）采购项目编号及项目名称</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（2）磋商供应商的名称、地址、联系人、联系电话和传真</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18.3响应文件未按17.1和17.2条密封和标记的，采购代理机构不对响应文件被错放或先期启封负责。</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18.4响应文件未密封的，采购代理机构有权拒绝接受该响应文件。</w:t>
      </w:r>
    </w:p>
    <w:p>
      <w:pPr>
        <w:widowControl/>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19、提交首次响应文件截止时间</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19.1磋商供应商应在磋商文件第一章“竞争性磋商邀请书”规定的提交首次响应文件截止时间前将响应文件密封送达指定地点。</w:t>
      </w:r>
    </w:p>
    <w:p>
      <w:pPr>
        <w:widowControl/>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20、迟交的响应文件</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20.1供应商应当在磋商文件要求的截止时间前，将响应文件密封送达指定地点。在截止时间后送达的响应文件为无效文件，采购人、采购代理机构或者磋商小组应当拒收。</w:t>
      </w:r>
    </w:p>
    <w:p>
      <w:pPr>
        <w:widowControl/>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21、响应文件的修改和撤回</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21.1磋商供应商在提交首次响应文件截止时间前，可以对所提交的响应文件进行补充、修改或者撤回，并书面通知采购人、采购代理机构。</w:t>
      </w:r>
    </w:p>
    <w:p>
      <w:pPr>
        <w:widowControl/>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21.2补充、修改的内容作为响应文件的组成部分。补充、修改的内容与响应文件不一致的，以补充、修改的内容为准。</w:t>
      </w:r>
    </w:p>
    <w:p>
      <w:pPr>
        <w:widowControl/>
        <w:spacing w:line="400" w:lineRule="exact"/>
        <w:ind w:firstLine="482"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color w:val="auto"/>
          <w:sz w:val="24"/>
        </w:rPr>
        <w:t>五、竞争性磋商及报价</w:t>
      </w:r>
    </w:p>
    <w:p>
      <w:pPr>
        <w:pStyle w:val="13"/>
        <w:spacing w:line="400" w:lineRule="exac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22、竞争性磋商及报价</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22.1采购代理机构按竞争性磋商文件第一章规定的时间和地点组织竞争性磋商及报价。</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22.2磋商供应商应委派授权委托人参加竞争性磋商及报价，授权委托人应随身携带身份证原件。</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22.3磋商供应商的授权委托人应在磋商文件第一章规定的提交首次响应文件截止时间前签到并递交响应文件。</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22.4竞争性磋商的开标会由采购代理机构主持，采购人代表、监督代表、供应商代表以及有关工作人员参加。</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22.5开标时由供应商代表查验响应文件密封情况，查验后，响应文件密封移交磋商小组。</w:t>
      </w:r>
    </w:p>
    <w:p>
      <w:pPr>
        <w:pStyle w:val="13"/>
        <w:spacing w:line="400" w:lineRule="exact"/>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22.6磋商时，磋商小组将核实参加磋商的供应商代表是否与响应文件中授权委托书中的代表一致。未派授权委托人参加磋商，或不能证明其授权委托人身份或实际参加磋商的代表与响应文件中授权委托书中的代表不一致的，磋商小组有权取消该磋商供应商的磋商资格。</w:t>
      </w:r>
    </w:p>
    <w:p>
      <w:pPr>
        <w:pStyle w:val="13"/>
        <w:spacing w:line="400" w:lineRule="exact"/>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23、磋商小组</w:t>
      </w:r>
    </w:p>
    <w:p>
      <w:pPr>
        <w:spacing w:line="400" w:lineRule="exact"/>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 xml:space="preserve">    23.1</w:t>
      </w:r>
      <w:r>
        <w:rPr>
          <w:rFonts w:hint="eastAsia" w:asciiTheme="minorEastAsia" w:hAnsiTheme="minorEastAsia" w:eastAsiaTheme="minorEastAsia" w:cstheme="minorEastAsia"/>
          <w:bCs/>
          <w:color w:val="auto"/>
          <w:sz w:val="24"/>
        </w:rPr>
        <w:t>磋商小组的成立</w:t>
      </w:r>
    </w:p>
    <w:p>
      <w:pPr>
        <w:spacing w:line="400" w:lineRule="exact"/>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磋商小组由采购人代表和评审专家共3人以上单数组成，其中评审专家人数不得少于磋商小组成员总数的2/3。</w:t>
      </w:r>
    </w:p>
    <w:p>
      <w:pPr>
        <w:spacing w:line="400" w:lineRule="exact"/>
        <w:ind w:firstLine="48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23.2采购人代表不得以评审专家身份参加本部门或本单位采购项目的评审。采购代理机构人员不得参加本机构代理的采购项目的评审。</w:t>
      </w:r>
    </w:p>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23.3磋商小组成员应当遵守评审工作纪律，不得泄露评审情况和评审中获悉的商业秘密。</w:t>
      </w:r>
    </w:p>
    <w:p>
      <w:pPr>
        <w:pStyle w:val="13"/>
        <w:spacing w:line="400" w:lineRule="exac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24、磋商小组磋商原则</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24.1磋商小组成员应当按照客观、公正、审慎的原则，根据磋商文件规定的评审程序、方法和标准进行独立评审，并对评审意见承担个人责任。</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24.2磋商小组成员对需要共同认定的事项存在争议的，经与采购人沟通后，按照少数服从多数的原则做出结论。持不同意见的磋商小组成员应当在评审报告上签署不同意见并说明理由，否则视为同意。</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24.3 小组成员和有关人员不得干预或者影响正常评审工作，不得明示或者暗示其倾向性或引导性意见，不得修改磋商文件确定的评审程序、方法和标准，不得征询采购人代表的倾向性意见，不得记录、复制或带走任何评审资料。</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24.4成交候选人确定后，磋商小组不得修改评审结果或要求重新评审。但因资格性审查认定错误或者价格计算错误需依法重新评审的除外。如有以上情况应在评审报告中明确记载。</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24.5磋商文件内容违反国家有关强制性规定的，磋商小组应当停止评审并向采购人或者采购代理机构说明情况。</w:t>
      </w:r>
    </w:p>
    <w:p>
      <w:pPr>
        <w:pStyle w:val="13"/>
        <w:spacing w:line="4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25、响应文件的澄清</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25.1磋商期间，磋商小组对响应文件的有效性、完整性和响应程度进行审查时，有权要求磋商供应商对其响应文件中含义不明确、同类问题表述不一致或者有明显文字和计算错误的内容等作出必要的澄清、说明或者更正。</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25.2磋商小组要求磋商供应商澄清、说明或者更正响应文件应当以书面形式作出。磋商供应商的澄清、说明或者更正应当由法定代表人或其授权代表签字或者加盖公章。</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25.3供应商的澄清、说明或者更正不得超出响应文件的范围或者改变响应文件的实质性内容。</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25.4未实质性响应磋商文件的响应文件按无效响应处理，磋商小组应当告知提交响应文件的供应商。</w:t>
      </w:r>
    </w:p>
    <w:p>
      <w:pPr>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26、特别注意事项</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26.1 磋商供应商出现下列情况之一的，磋商小组可取消其磋商资格：</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（1）未按磋商文件或磋商小组规定时间派授权委托人参加磋商的；</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（2）未按磋商文件要求和规定提交有关材料的；</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（3）相互串通投标的（有下列情形之一的，视为磋商供应商相互串通投标）：</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A、不同磋商供应商的响应文件由同一单位或个人编制；</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B、不同磋商供应商委托同一单位或个人办理磋商事宜；</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C、不同磋商供应商的响应文件载明的项目管理成员为同一人的；</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D、不同磋商供应商的响应文件异常一致或者投标报价呈现规律性差异；</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E、不同磋商供应商的响应文件相互混装；</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F、不同磋商供应商的磋商保证金从同一单位的账户转出。</w:t>
      </w:r>
    </w:p>
    <w:p>
      <w:pPr>
        <w:spacing w:line="400" w:lineRule="exact"/>
        <w:ind w:firstLine="360" w:firstLineChars="15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（4）有违反政府采购法律、法规行为的。</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26.2磋商供应商出现下列情形之一的，将被视为非实质性响应磋商文件要求：</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（1）交货（完工或服务）期不确切或不符合磋商文件要求的；</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（2）最后报价有选择性的；</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（3）磋商供应商最后报价表中提供的货物或者服务种存在缺（漏）项的；</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（4）最后报价超过采购预算金额的；</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（5）被磋商小组认定存在重大负偏离的。</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所谓重大负偏离是指磋商供应商对磋商文件的响应在范围、质量、数量、交货（完工或服务）期限、技术规格要求、服务要求等方面明显不能满足采购需求的。重大负偏离的认定须经磋商小组三分之二以上成员同意。</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26.3磋商小组认为供应商的最终报价（含一个或同时多个）低于其他有效投标人的最终报价平均值50%或明显低于其他供应商的最终报价，有可能影响产品质量或者不能诚信履约的，应当要求其在磋商现场合理的时间内提供书面说明，必要时提交相关证明材料；供应商不能证明其报价合理性的，磋商小组应当将其作为无效响应处理。</w:t>
      </w:r>
    </w:p>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27、确定成交候选供应商</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27.1坚持公平、公正地对待所有磋商供应商。</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27.2按照同一评审程序、方法和标准评审磋商供应商的响应文件。详见本竞争性磋商文件第五章“评审程序、方法及标准”。</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27.3磋商小组按照本磋商文件第五章中公布的评审程序、方法和标准进行评审，确定成交候选供应商。</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27.4磋商小组应当根据综合评分情况，按照评审得分由高到低的顺序推荐1-3成交候选供应商，并编写评审报告。</w:t>
      </w:r>
    </w:p>
    <w:p>
      <w:pPr>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28、磋商过程保密</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28.1磋商是竞争性磋商的重要环节，磋商工作在磋商小组内独立进行。磋商小组将遵照第五章规定的评审原则，公平、公正地对待所有磋商供应商。</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在宣布成交结果前，凡属于审查、澄清、评价、比较响应文件等有关信息，相关当事人均不得泄露给任何磋商供应商或与磋商工作无关的人员。</w:t>
      </w:r>
    </w:p>
    <w:p>
      <w:pPr>
        <w:spacing w:line="400" w:lineRule="exact"/>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28.2磋商供应商不得向磋商小组成员询问磋商情况，不得以任何行为影响磋商过程，否则其响应文件将被作为无效响应文件。</w:t>
      </w:r>
    </w:p>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29、采购人、采购代理机构和磋商小组不向未成交的磋商供应商解释未成交原因，也不对磋商过程中的细节问题进行公布。</w:t>
      </w:r>
    </w:p>
    <w:p>
      <w:pPr>
        <w:spacing w:line="40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六、确定成交供应商及签约</w:t>
      </w:r>
    </w:p>
    <w:p>
      <w:pPr>
        <w:spacing w:line="400" w:lineRule="exact"/>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30、磋商小组将严格按照磋商文件的要求进行比较，根据磋商文件中公布的评定成交标准推荐出成交候选供应商。</w:t>
      </w:r>
    </w:p>
    <w:p>
      <w:pPr>
        <w:spacing w:line="400" w:lineRule="exact"/>
        <w:ind w:firstLine="470" w:firstLineChars="196"/>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人应当在收到评审报告后5个工作日内，从评审报告提出的成交候选供应商中，按照排序由高到低的原则确定成交供应商。采购人逾期未确定成交供应商且不提出异议的，视为确定评审报告提出的排序第一的成交候选供应商为成交供应商。</w:t>
      </w:r>
    </w:p>
    <w:p>
      <w:pPr>
        <w:pStyle w:val="13"/>
        <w:spacing w:line="400" w:lineRule="exac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采购代理机构应当在成交供应商确定后2个工作日内，在芜湖公共资源交易中心网站公告成交结果，同时向成交供应商发出中标通知书。</w:t>
      </w:r>
    </w:p>
    <w:p>
      <w:pPr>
        <w:pStyle w:val="13"/>
        <w:spacing w:line="400" w:lineRule="exact"/>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31、成交通知</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31.1确定成交供应商后，采购代理机构向成交供应商发出《中标通知书》。</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31.2中标通知书对采购人和成交供应商均有法律效力。中标通知书发出后，采购人改变成交结果的，或者成交供应商无故拒绝签订合同、放弃成交项目的，应当依法承担法律责任。</w:t>
      </w:r>
    </w:p>
    <w:p>
      <w:pPr>
        <w:pStyle w:val="13"/>
        <w:spacing w:line="400" w:lineRule="exac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32、签订合同</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32.1成交供应商按《中标通知书》规定的时间、地点和采购人签订政府采购合同。</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32.2中标通知书、竞争性磋商文件、成交供应商的响应文件及磋商过程中有关澄清文件均为合同的组成部分。</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32.3签订合同后，成交供应商不得将采购项目进行转包。未经采购人同意，成交供应商不得采取分包的形式履行合同，否则采购人有权终止合同。因转包或分包造成采购人损失的，成交供应商还应承担相应赔偿责任。</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32.4政府采购合同适用合同法。采购人和成交供应商之间在合同中约定的权利和义务，双方均应诚实守信全面履行，否则违约方将承担违约责任并赔偿对方损失。</w:t>
      </w:r>
    </w:p>
    <w:p>
      <w:pPr>
        <w:pStyle w:val="13"/>
        <w:spacing w:line="400" w:lineRule="exac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33、质疑</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供应商对采购事项有疑问的，可以按照《政府采购法》的规定，向采购人或者采购代理机构提出质疑。</w:t>
      </w:r>
    </w:p>
    <w:p>
      <w:pPr>
        <w:pStyle w:val="13"/>
        <w:spacing w:line="400" w:lineRule="exac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34、质疑的程序和处理</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按照《政府采购法》有关规定。</w:t>
      </w:r>
    </w:p>
    <w:p>
      <w:pPr>
        <w:pStyle w:val="13"/>
        <w:spacing w:line="400" w:lineRule="exact"/>
        <w:outlineLvl w:val="1"/>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color w:val="auto"/>
          <w:sz w:val="24"/>
          <w:szCs w:val="24"/>
        </w:rPr>
        <w:t>七、其他</w:t>
      </w:r>
    </w:p>
    <w:p>
      <w:pPr>
        <w:pStyle w:val="13"/>
        <w:spacing w:line="400" w:lineRule="exac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35、代理服务费及</w:t>
      </w:r>
      <w:r>
        <w:rPr>
          <w:rFonts w:hint="eastAsia" w:asciiTheme="minorEastAsia" w:hAnsiTheme="minorEastAsia" w:eastAsiaTheme="minorEastAsia" w:cstheme="minorEastAsia"/>
          <w:b/>
          <w:bCs/>
          <w:color w:val="auto"/>
          <w:sz w:val="24"/>
          <w:szCs w:val="24"/>
          <w:lang w:eastAsia="zh-CN"/>
        </w:rPr>
        <w:t>专家</w:t>
      </w:r>
      <w:r>
        <w:rPr>
          <w:rFonts w:hint="eastAsia" w:asciiTheme="minorEastAsia" w:hAnsiTheme="minorEastAsia" w:eastAsiaTheme="minorEastAsia" w:cstheme="minorEastAsia"/>
          <w:b/>
          <w:bCs/>
          <w:color w:val="auto"/>
          <w:sz w:val="24"/>
          <w:szCs w:val="24"/>
        </w:rPr>
        <w:t>评审费</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35.1、本项目代理服务费由</w:t>
      </w:r>
      <w:r>
        <w:rPr>
          <w:rFonts w:hint="eastAsia" w:asciiTheme="minorEastAsia" w:hAnsiTheme="minorEastAsia" w:eastAsiaTheme="minorEastAsia" w:cstheme="minorEastAsia"/>
          <w:bCs/>
          <w:color w:val="auto"/>
          <w:sz w:val="24"/>
          <w:szCs w:val="24"/>
          <w:lang w:eastAsia="zh-CN"/>
        </w:rPr>
        <w:t>成交供应商</w:t>
      </w:r>
      <w:r>
        <w:rPr>
          <w:rFonts w:hint="eastAsia" w:asciiTheme="minorEastAsia" w:hAnsiTheme="minorEastAsia" w:eastAsiaTheme="minorEastAsia" w:cstheme="minorEastAsia"/>
          <w:bCs/>
          <w:color w:val="auto"/>
          <w:sz w:val="24"/>
          <w:szCs w:val="24"/>
        </w:rPr>
        <w:t>支付，按《关于招标采购代理服务费有关事项的通知》（公管【2016】139号文）执行，</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报价时综合考虑此费用（不单独列项），须在领取中标通知书前一次性付清。</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35.2、</w:t>
      </w:r>
      <w:r>
        <w:rPr>
          <w:rFonts w:hint="eastAsia" w:asciiTheme="minorEastAsia" w:hAnsiTheme="minorEastAsia" w:eastAsiaTheme="minorEastAsia" w:cstheme="minorEastAsia"/>
          <w:bCs/>
          <w:color w:val="auto"/>
          <w:sz w:val="24"/>
          <w:szCs w:val="24"/>
          <w:lang w:eastAsia="zh-CN"/>
        </w:rPr>
        <w:t>成交供应商</w:t>
      </w:r>
      <w:r>
        <w:rPr>
          <w:rFonts w:hint="eastAsia" w:asciiTheme="minorEastAsia" w:hAnsiTheme="minorEastAsia" w:eastAsiaTheme="minorEastAsia" w:cstheme="minorEastAsia"/>
          <w:bCs/>
          <w:color w:val="auto"/>
          <w:sz w:val="24"/>
          <w:szCs w:val="24"/>
        </w:rPr>
        <w:t>在领取中标通知书时须向第三方</w:t>
      </w:r>
      <w:r>
        <w:rPr>
          <w:rFonts w:hint="eastAsia" w:asciiTheme="minorEastAsia" w:hAnsiTheme="minorEastAsia" w:eastAsiaTheme="minorEastAsia" w:cstheme="minorEastAsia"/>
          <w:bCs/>
          <w:color w:val="auto"/>
          <w:sz w:val="24"/>
          <w:szCs w:val="24"/>
          <w:lang w:eastAsia="zh-CN"/>
        </w:rPr>
        <w:t>采购代理机构</w:t>
      </w:r>
      <w:r>
        <w:rPr>
          <w:rFonts w:hint="eastAsia" w:asciiTheme="minorEastAsia" w:hAnsiTheme="minorEastAsia" w:eastAsiaTheme="minorEastAsia" w:cstheme="minorEastAsia"/>
          <w:bCs/>
          <w:color w:val="auto"/>
          <w:sz w:val="24"/>
          <w:szCs w:val="24"/>
        </w:rPr>
        <w:t>缴纳该项目的专家评</w:t>
      </w:r>
      <w:r>
        <w:rPr>
          <w:rFonts w:hint="eastAsia" w:asciiTheme="minorEastAsia" w:hAnsiTheme="minorEastAsia" w:eastAsiaTheme="minorEastAsia" w:cstheme="minorEastAsia"/>
          <w:bCs/>
          <w:color w:val="auto"/>
          <w:sz w:val="24"/>
          <w:szCs w:val="24"/>
          <w:lang w:eastAsia="zh-CN"/>
        </w:rPr>
        <w:t>审</w:t>
      </w:r>
      <w:r>
        <w:rPr>
          <w:rFonts w:hint="eastAsia" w:asciiTheme="minorEastAsia" w:hAnsiTheme="minorEastAsia" w:eastAsiaTheme="minorEastAsia" w:cstheme="minorEastAsia"/>
          <w:bCs/>
          <w:color w:val="auto"/>
          <w:sz w:val="24"/>
          <w:szCs w:val="24"/>
        </w:rPr>
        <w:t>费（评</w:t>
      </w:r>
      <w:r>
        <w:rPr>
          <w:rFonts w:hint="eastAsia" w:asciiTheme="minorEastAsia" w:hAnsiTheme="minorEastAsia" w:eastAsiaTheme="minorEastAsia" w:cstheme="minorEastAsia"/>
          <w:bCs/>
          <w:color w:val="auto"/>
          <w:sz w:val="24"/>
          <w:szCs w:val="24"/>
          <w:lang w:eastAsia="zh-CN"/>
        </w:rPr>
        <w:t>审</w:t>
      </w:r>
      <w:r>
        <w:rPr>
          <w:rFonts w:hint="eastAsia" w:asciiTheme="minorEastAsia" w:hAnsiTheme="minorEastAsia" w:eastAsiaTheme="minorEastAsia" w:cstheme="minorEastAsia"/>
          <w:bCs/>
          <w:color w:val="auto"/>
          <w:sz w:val="24"/>
          <w:szCs w:val="24"/>
        </w:rPr>
        <w:t>费大约1500元，具体以</w:t>
      </w:r>
      <w:r>
        <w:rPr>
          <w:rFonts w:hint="eastAsia" w:asciiTheme="minorEastAsia" w:hAnsiTheme="minorEastAsia" w:eastAsiaTheme="minorEastAsia" w:cstheme="minorEastAsia"/>
          <w:bCs/>
          <w:color w:val="auto"/>
          <w:sz w:val="24"/>
          <w:szCs w:val="24"/>
          <w:lang w:eastAsia="zh-CN"/>
        </w:rPr>
        <w:t>采购代理机构</w:t>
      </w:r>
      <w:r>
        <w:rPr>
          <w:rFonts w:hint="eastAsia" w:asciiTheme="minorEastAsia" w:hAnsiTheme="minorEastAsia" w:eastAsiaTheme="minorEastAsia" w:cstheme="minorEastAsia"/>
          <w:bCs/>
          <w:color w:val="auto"/>
          <w:sz w:val="24"/>
          <w:szCs w:val="24"/>
        </w:rPr>
        <w:t>提供专家费用领取单为准），请在报价时考虑以上费用（不单独列项）。</w:t>
      </w:r>
    </w:p>
    <w:p>
      <w:pPr>
        <w:pStyle w:val="13"/>
        <w:spacing w:line="400" w:lineRule="exact"/>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36、知识产权</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36.1构成本采购文件各个组成部分的文件，未经采购人书面同意，供应商不得擅自复印和用于非本采购项目所需的其他目的。如因此导致采购人损失的，供应商须承担全部赔偿责任。</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36.2采购人在中华人民共和国境内使用中标货物（服务）、资料、技术、服务或其任何一部分时，履行合同义务后，享有不受限制的无偿使用权，不会产生因第三方提出侵犯其专利权、商标权或其它知识产权而引起的法律或经济纠纷。如供应商不拥有相应的知识产权，则在响应报价中必须包括合法获取该知识产权的一切相关费用。如因此导致采购人损失的，供应商须承担全部赔偿责任。</w:t>
      </w:r>
    </w:p>
    <w:p>
      <w:pPr>
        <w:pStyle w:val="13"/>
        <w:spacing w:line="400" w:lineRule="exact"/>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37、解释权</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本采购文件最终解释权归采购人和采购代理机构所有。</w:t>
      </w:r>
    </w:p>
    <w:p>
      <w:pPr>
        <w:pStyle w:val="13"/>
        <w:ind w:firstLine="562" w:firstLineChars="200"/>
        <w:jc w:val="left"/>
        <w:rPr>
          <w:rFonts w:hAnsi="宋体"/>
          <w:b/>
          <w:bCs/>
          <w:color w:val="auto"/>
          <w:sz w:val="32"/>
          <w:szCs w:val="32"/>
        </w:rPr>
      </w:pPr>
      <w:r>
        <w:rPr>
          <w:rFonts w:hAnsi="宋体"/>
          <w:b/>
          <w:bCs/>
          <w:color w:val="auto"/>
          <w:sz w:val="28"/>
          <w:szCs w:val="28"/>
        </w:rPr>
        <w:br w:type="page"/>
      </w:r>
      <w:r>
        <w:rPr>
          <w:rFonts w:hAnsi="宋体"/>
          <w:b/>
          <w:bCs/>
          <w:color w:val="auto"/>
          <w:sz w:val="32"/>
          <w:szCs w:val="32"/>
        </w:rPr>
        <w:t>第三章</w:t>
      </w:r>
      <w:r>
        <w:rPr>
          <w:rFonts w:hint="eastAsia" w:hAnsi="宋体"/>
          <w:b/>
          <w:bCs/>
          <w:color w:val="auto"/>
          <w:sz w:val="32"/>
          <w:szCs w:val="32"/>
        </w:rPr>
        <w:t xml:space="preserve">  政府采购合同</w:t>
      </w:r>
    </w:p>
    <w:p>
      <w:pPr>
        <w:pStyle w:val="13"/>
        <w:ind w:firstLine="560" w:firstLineChars="200"/>
        <w:jc w:val="center"/>
        <w:rPr>
          <w:rFonts w:hAnsi="宋体"/>
          <w:bCs/>
          <w:color w:val="auto"/>
          <w:sz w:val="28"/>
          <w:szCs w:val="28"/>
        </w:rPr>
      </w:pPr>
      <w:r>
        <w:rPr>
          <w:rFonts w:hint="eastAsia" w:hAnsi="宋体"/>
          <w:bCs/>
          <w:color w:val="auto"/>
          <w:sz w:val="28"/>
          <w:szCs w:val="28"/>
        </w:rPr>
        <w:t>由</w:t>
      </w:r>
      <w:r>
        <w:rPr>
          <w:rFonts w:hint="eastAsia" w:hAnsi="宋体"/>
          <w:bCs/>
          <w:color w:val="auto"/>
          <w:sz w:val="28"/>
          <w:szCs w:val="28"/>
          <w:lang w:eastAsia="zh-CN"/>
        </w:rPr>
        <w:t>成交供应商</w:t>
      </w:r>
      <w:r>
        <w:rPr>
          <w:rFonts w:hint="eastAsia" w:hAnsi="宋体"/>
          <w:bCs/>
          <w:color w:val="auto"/>
          <w:sz w:val="28"/>
          <w:szCs w:val="28"/>
        </w:rPr>
        <w:t>与采购人（业主）具体商签。</w:t>
      </w:r>
    </w:p>
    <w:p>
      <w:pPr>
        <w:pStyle w:val="6"/>
        <w:jc w:val="center"/>
        <w:rPr>
          <w:rFonts w:ascii="宋体" w:hAnsi="宋体" w:eastAsia="宋体"/>
          <w:color w:val="auto"/>
        </w:rPr>
      </w:pPr>
      <w:r>
        <w:rPr>
          <w:rFonts w:hint="eastAsia" w:ascii="宋体" w:hAnsi="宋体" w:eastAsia="宋体"/>
          <w:color w:val="auto"/>
        </w:rPr>
        <w:t>（四）合同条款前附表</w:t>
      </w:r>
    </w:p>
    <w:tbl>
      <w:tblPr>
        <w:tblStyle w:val="23"/>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04"/>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highlight w:val="white"/>
              </w:rPr>
              <w:t>序号</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highlight w:val="white"/>
              </w:rPr>
              <w:t>条款号</w:t>
            </w:r>
          </w:p>
        </w:tc>
        <w:tc>
          <w:tcPr>
            <w:tcW w:w="72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highlight w:val="whit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rPr>
            </w:pPr>
            <w:r>
              <w:rPr>
                <w:rFonts w:hint="eastAsia" w:ascii="宋体" w:hAnsi="宋体" w:cs="宋体"/>
                <w:color w:val="auto"/>
                <w:sz w:val="24"/>
                <w:highlight w:val="white"/>
              </w:rPr>
              <w:t>1</w:t>
            </w:r>
          </w:p>
        </w:tc>
        <w:tc>
          <w:tcPr>
            <w:tcW w:w="150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rPr>
            </w:pPr>
            <w:r>
              <w:rPr>
                <w:rFonts w:hint="eastAsia" w:ascii="宋体" w:hAnsi="宋体" w:cs="宋体"/>
                <w:color w:val="auto"/>
                <w:sz w:val="24"/>
                <w:highlight w:val="white"/>
              </w:rPr>
              <w:t>7.1</w:t>
            </w:r>
          </w:p>
        </w:tc>
        <w:tc>
          <w:tcPr>
            <w:tcW w:w="72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white"/>
              </w:rPr>
            </w:pPr>
            <w:r>
              <w:rPr>
                <w:rFonts w:hint="eastAsia" w:ascii="宋体" w:hAnsi="宋体" w:cs="宋体"/>
                <w:color w:val="auto"/>
                <w:sz w:val="24"/>
                <w:highlight w:val="white"/>
              </w:rPr>
              <w:t>履约地点为：芜湖市文化和旅游局 指定地点。</w:t>
            </w:r>
          </w:p>
          <w:p>
            <w:pPr>
              <w:spacing w:line="360" w:lineRule="auto"/>
              <w:rPr>
                <w:rFonts w:ascii="宋体" w:hAnsi="宋体" w:cs="宋体"/>
                <w:color w:val="auto"/>
                <w:sz w:val="24"/>
                <w:highlight w:val="white"/>
              </w:rPr>
            </w:pPr>
            <w:r>
              <w:rPr>
                <w:rFonts w:hint="eastAsia" w:ascii="宋体" w:hAnsi="宋体" w:cs="宋体"/>
                <w:color w:val="auto"/>
                <w:sz w:val="24"/>
                <w:highlight w:val="white"/>
              </w:rPr>
              <w:t>（注：由招标单位指定本项目实施、建设现场）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rPr>
            </w:pPr>
            <w:r>
              <w:rPr>
                <w:rFonts w:hint="eastAsia" w:ascii="宋体" w:hAnsi="宋体" w:cs="宋体"/>
                <w:color w:val="auto"/>
                <w:sz w:val="24"/>
                <w:highlight w:val="white"/>
              </w:rPr>
              <w:t>2</w:t>
            </w:r>
          </w:p>
        </w:tc>
        <w:tc>
          <w:tcPr>
            <w:tcW w:w="150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rPr>
            </w:pPr>
            <w:r>
              <w:rPr>
                <w:rFonts w:hint="eastAsia" w:ascii="宋体" w:hAnsi="宋体" w:cs="宋体"/>
                <w:color w:val="auto"/>
                <w:sz w:val="24"/>
                <w:highlight w:val="white"/>
              </w:rPr>
              <w:t>8</w:t>
            </w:r>
          </w:p>
        </w:tc>
        <w:tc>
          <w:tcPr>
            <w:tcW w:w="72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r>
              <w:rPr>
                <w:rFonts w:hint="eastAsia" w:ascii="宋体" w:hAnsi="宋体" w:cs="宋体"/>
                <w:color w:val="auto"/>
                <w:sz w:val="24"/>
                <w:highlight w:val="none"/>
              </w:rPr>
              <w:t>付款应按下列条件进行：合同中约定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rPr>
            </w:pPr>
            <w:r>
              <w:rPr>
                <w:rFonts w:hint="eastAsia" w:ascii="宋体" w:hAnsi="宋体" w:cs="宋体"/>
                <w:color w:val="auto"/>
                <w:sz w:val="24"/>
                <w:highlight w:val="white"/>
              </w:rPr>
              <w:t>3</w:t>
            </w:r>
          </w:p>
        </w:tc>
        <w:tc>
          <w:tcPr>
            <w:tcW w:w="150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rPr>
            </w:pPr>
            <w:r>
              <w:rPr>
                <w:rFonts w:hint="eastAsia" w:ascii="宋体" w:hAnsi="宋体" w:cs="宋体"/>
                <w:color w:val="auto"/>
                <w:sz w:val="24"/>
                <w:highlight w:val="white"/>
              </w:rPr>
              <w:t>12</w:t>
            </w:r>
          </w:p>
        </w:tc>
        <w:tc>
          <w:tcPr>
            <w:tcW w:w="72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索赔方式:</w:t>
            </w:r>
            <w:r>
              <w:rPr>
                <w:rFonts w:hint="eastAsia" w:ascii="宋体" w:hAnsi="宋体" w:cs="宋体"/>
                <w:bCs/>
                <w:color w:val="auto"/>
                <w:sz w:val="24"/>
                <w:highlight w:val="none"/>
              </w:rPr>
              <w:t>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rPr>
            </w:pPr>
            <w:r>
              <w:rPr>
                <w:rFonts w:hint="eastAsia" w:ascii="宋体" w:hAnsi="宋体" w:cs="宋体"/>
                <w:color w:val="auto"/>
                <w:sz w:val="24"/>
                <w:highlight w:val="white"/>
              </w:rPr>
              <w:t>4</w:t>
            </w:r>
          </w:p>
        </w:tc>
        <w:tc>
          <w:tcPr>
            <w:tcW w:w="150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auto"/>
                <w:sz w:val="24"/>
              </w:rPr>
            </w:pPr>
          </w:p>
        </w:tc>
        <w:tc>
          <w:tcPr>
            <w:tcW w:w="72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本合同买方为：芜湖市文化和旅游局</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服务期：</w:t>
            </w:r>
            <w:r>
              <w:rPr>
                <w:rFonts w:hint="eastAsia" w:ascii="宋体" w:hAnsi="宋体" w:cs="宋体"/>
                <w:color w:val="auto"/>
                <w:sz w:val="24"/>
                <w:highlight w:val="none"/>
                <w:lang w:eastAsia="zh-CN"/>
              </w:rPr>
              <w:t>一年</w:t>
            </w:r>
          </w:p>
          <w:p>
            <w:pPr>
              <w:spacing w:line="360" w:lineRule="auto"/>
              <w:rPr>
                <w:rFonts w:ascii="宋体" w:hAnsi="宋体" w:cs="宋体"/>
                <w:color w:val="auto"/>
                <w:sz w:val="24"/>
                <w:highlight w:val="none"/>
              </w:rPr>
            </w:pPr>
            <w:r>
              <w:rPr>
                <w:rFonts w:hint="eastAsia" w:ascii="宋体" w:hAnsi="宋体" w:cs="宋体"/>
                <w:color w:val="auto"/>
                <w:sz w:val="24"/>
                <w:highlight w:val="none"/>
              </w:rPr>
              <w:t>交货地点：芜湖市文化和旅游局 指定地点。</w:t>
            </w:r>
          </w:p>
          <w:p>
            <w:pPr>
              <w:spacing w:line="360" w:lineRule="auto"/>
              <w:rPr>
                <w:rFonts w:ascii="宋体" w:hAnsi="宋体" w:cs="宋体"/>
                <w:color w:val="auto"/>
                <w:sz w:val="24"/>
                <w:highlight w:val="none"/>
              </w:rPr>
            </w:pPr>
            <w:r>
              <w:rPr>
                <w:rFonts w:hint="eastAsia" w:ascii="宋体" w:hAnsi="宋体" w:cs="宋体"/>
                <w:color w:val="auto"/>
                <w:sz w:val="24"/>
                <w:highlight w:val="none"/>
              </w:rPr>
              <w:t>招标代理机构：合普项目管理咨询集团有限公司</w:t>
            </w:r>
          </w:p>
        </w:tc>
      </w:tr>
    </w:tbl>
    <w:p>
      <w:pPr>
        <w:rPr>
          <w:color w:val="auto"/>
        </w:rPr>
      </w:pPr>
    </w:p>
    <w:p>
      <w:pPr>
        <w:pStyle w:val="13"/>
        <w:ind w:firstLine="560" w:firstLineChars="200"/>
        <w:jc w:val="center"/>
        <w:rPr>
          <w:rFonts w:hAnsi="宋体"/>
          <w:bCs/>
          <w:color w:val="auto"/>
          <w:sz w:val="28"/>
          <w:szCs w:val="28"/>
        </w:rPr>
      </w:pPr>
    </w:p>
    <w:p>
      <w:pPr>
        <w:pStyle w:val="6"/>
        <w:jc w:val="center"/>
        <w:rPr>
          <w:color w:val="auto"/>
          <w:highlight w:val="white"/>
        </w:rPr>
      </w:pPr>
      <w:r>
        <w:rPr>
          <w:rFonts w:hAnsi="宋体"/>
          <w:color w:val="auto"/>
          <w:sz w:val="24"/>
          <w:szCs w:val="24"/>
        </w:rPr>
        <w:br w:type="page"/>
      </w:r>
      <w:r>
        <w:rPr>
          <w:rFonts w:hint="eastAsia"/>
          <w:color w:val="auto"/>
          <w:highlight w:val="white"/>
        </w:rPr>
        <w:t>第四章采购需求清单及技术规格</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注：1、标有“*”的参数为实质性参数，必须满足，否则，其投标无效。</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w:t>
      </w:r>
      <w:r>
        <w:rPr>
          <w:rFonts w:hint="eastAsia" w:asciiTheme="minorEastAsia" w:hAnsiTheme="minorEastAsia" w:eastAsiaTheme="minorEastAsia" w:cstheme="minorEastAsia"/>
          <w:bCs/>
          <w:color w:val="auto"/>
          <w:sz w:val="24"/>
          <w:szCs w:val="24"/>
          <w:lang w:eastAsia="zh-CN"/>
        </w:rPr>
        <w:t>磋商供应商</w:t>
      </w:r>
      <w:r>
        <w:rPr>
          <w:rFonts w:hint="eastAsia" w:asciiTheme="minorEastAsia" w:hAnsiTheme="minorEastAsia" w:eastAsiaTheme="minorEastAsia" w:cstheme="minorEastAsia"/>
          <w:bCs/>
          <w:color w:val="auto"/>
          <w:sz w:val="24"/>
          <w:szCs w:val="24"/>
        </w:rPr>
        <w:t>编制投标文件时应对服务期间可能出现的政策、环境和市场的变化带来的运营成本上涨等可能影响报价的因素，做出正确的评估，并体现到投标报价中，否则，造成的经济风险责任自负。</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3、中标</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不得转包。一经查实，立即取消中标资格。</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w:t>
      </w:r>
      <w:r>
        <w:rPr>
          <w:rFonts w:hint="eastAsia" w:asciiTheme="minorEastAsia" w:hAnsiTheme="minorEastAsia" w:eastAsiaTheme="minorEastAsia" w:cstheme="minorEastAsia"/>
          <w:bCs/>
          <w:color w:val="auto"/>
          <w:sz w:val="24"/>
          <w:szCs w:val="24"/>
          <w:lang w:eastAsia="zh-CN"/>
        </w:rPr>
        <w:t>磋商供应商</w:t>
      </w:r>
      <w:r>
        <w:rPr>
          <w:rFonts w:hint="eastAsia" w:asciiTheme="minorEastAsia" w:hAnsiTheme="minorEastAsia" w:eastAsiaTheme="minorEastAsia" w:cstheme="minorEastAsia"/>
          <w:bCs/>
          <w:color w:val="auto"/>
          <w:sz w:val="24"/>
          <w:szCs w:val="24"/>
        </w:rPr>
        <w:t>报价中如有漏项、漏算、少算等内容均视为</w:t>
      </w:r>
      <w:r>
        <w:rPr>
          <w:rFonts w:hint="eastAsia" w:asciiTheme="minorEastAsia" w:hAnsiTheme="minorEastAsia" w:eastAsiaTheme="minorEastAsia" w:cstheme="minorEastAsia"/>
          <w:bCs/>
          <w:color w:val="auto"/>
          <w:sz w:val="24"/>
          <w:szCs w:val="24"/>
          <w:lang w:eastAsia="zh-CN"/>
        </w:rPr>
        <w:t>磋商供应商</w:t>
      </w:r>
      <w:r>
        <w:rPr>
          <w:rFonts w:hint="eastAsia" w:asciiTheme="minorEastAsia" w:hAnsiTheme="minorEastAsia" w:eastAsiaTheme="minorEastAsia" w:cstheme="minorEastAsia"/>
          <w:bCs/>
          <w:color w:val="auto"/>
          <w:sz w:val="24"/>
          <w:szCs w:val="24"/>
        </w:rPr>
        <w:t>报价的技术策略并视为默认,中标后，在签订合同时和合同履约过程中，</w:t>
      </w:r>
      <w:r>
        <w:rPr>
          <w:rFonts w:hint="eastAsia" w:asciiTheme="minorEastAsia" w:hAnsiTheme="minorEastAsia" w:eastAsiaTheme="minorEastAsia" w:cstheme="minorEastAsia"/>
          <w:bCs/>
          <w:color w:val="auto"/>
          <w:sz w:val="24"/>
          <w:szCs w:val="24"/>
          <w:lang w:eastAsia="zh-CN"/>
        </w:rPr>
        <w:t>成交供应商</w:t>
      </w:r>
      <w:r>
        <w:rPr>
          <w:rFonts w:hint="eastAsia" w:asciiTheme="minorEastAsia" w:hAnsiTheme="minorEastAsia" w:eastAsiaTheme="minorEastAsia" w:cstheme="minorEastAsia"/>
          <w:bCs/>
          <w:color w:val="auto"/>
          <w:sz w:val="24"/>
          <w:szCs w:val="24"/>
        </w:rPr>
        <w:t>不得以不完全了解本项目情况为由，提出任何形式的增加经费或索赔的要求。</w:t>
      </w:r>
    </w:p>
    <w:p>
      <w:pPr>
        <w:pStyle w:val="13"/>
        <w:jc w:val="center"/>
        <w:rPr>
          <w:rFonts w:ascii="仿宋_GB2312" w:hAnsi="宋体" w:cs="宋体"/>
          <w:color w:val="auto"/>
          <w:spacing w:val="20"/>
          <w:sz w:val="28"/>
          <w:szCs w:val="28"/>
          <w:highlight w:val="white"/>
        </w:rPr>
      </w:pPr>
      <w:r>
        <w:rPr>
          <w:rFonts w:hint="eastAsia" w:ascii="仿宋_GB2312" w:hAnsi="宋体" w:cs="宋体"/>
          <w:color w:val="auto"/>
          <w:spacing w:val="20"/>
          <w:sz w:val="28"/>
          <w:szCs w:val="28"/>
          <w:highlight w:val="white"/>
        </w:rPr>
        <w:t>采购清单说明</w:t>
      </w:r>
    </w:p>
    <w:p>
      <w:pPr>
        <w:pStyle w:val="13"/>
        <w:keepNext w:val="0"/>
        <w:keepLines w:val="0"/>
        <w:pageBreakBefore w:val="0"/>
        <w:widowControl w:val="0"/>
        <w:kinsoku/>
        <w:wordWrap/>
        <w:overflowPunct/>
        <w:topLinePunct w:val="0"/>
        <w:autoSpaceDE/>
        <w:autoSpaceDN/>
        <w:bidi w:val="0"/>
        <w:adjustRightInd/>
        <w:snapToGrid/>
        <w:spacing w:line="400" w:lineRule="exact"/>
        <w:ind w:firstLine="522" w:firstLineChars="200"/>
        <w:textAlignment w:val="auto"/>
        <w:rPr>
          <w:rFonts w:asciiTheme="minorEastAsia" w:hAnsiTheme="minorEastAsia" w:eastAsiaTheme="minorEastAsia" w:cstheme="minorEastAsia"/>
          <w:b/>
          <w:bCs/>
          <w:color w:val="auto"/>
          <w:sz w:val="26"/>
          <w:szCs w:val="26"/>
        </w:rPr>
      </w:pPr>
      <w:r>
        <w:rPr>
          <w:rFonts w:hint="eastAsia" w:asciiTheme="minorEastAsia" w:hAnsiTheme="minorEastAsia" w:eastAsiaTheme="minorEastAsia" w:cstheme="minorEastAsia"/>
          <w:b/>
          <w:bCs/>
          <w:color w:val="auto"/>
          <w:sz w:val="26"/>
          <w:szCs w:val="26"/>
        </w:rPr>
        <w:t>一、项目概况</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在全域旅游大发展、文化和旅游大融合的背景下，在商合杭高铁即将通达的新形势下，芜湖丰富的全域文旅资源需要新的呈现与表达，并做好增量游客服务，2020年度的文旅宣传画册面临创新需求。</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现有《欢乐芜湖—旅游攻略》为综合性指南，涵盖吃住行游购娱的方方面面，旨在帮助游客快速、全面了解芜湖。在个性化旅游流行的当下，当游客对某类产品产生兴趣，需要进一步深入了解时，就需要一套专题化的全域旅游指南系列作为补充。</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因此，在2020年度</w:t>
      </w:r>
      <w:r>
        <w:rPr>
          <w:rFonts w:hint="eastAsia" w:asciiTheme="minorEastAsia" w:hAnsiTheme="minorEastAsia" w:eastAsiaTheme="minorEastAsia" w:cstheme="minorEastAsia"/>
          <w:bCs/>
          <w:color w:val="auto"/>
          <w:sz w:val="24"/>
          <w:szCs w:val="24"/>
          <w:highlight w:val="none"/>
        </w:rPr>
        <w:t>，打造</w:t>
      </w:r>
      <w:r>
        <w:rPr>
          <w:rFonts w:hint="eastAsia" w:asciiTheme="minorEastAsia" w:hAnsiTheme="minorEastAsia" w:eastAsiaTheme="minorEastAsia" w:cstheme="minorEastAsia"/>
          <w:bCs/>
          <w:color w:val="auto"/>
          <w:sz w:val="24"/>
          <w:szCs w:val="24"/>
          <w:highlight w:val="none"/>
          <w:lang w:eastAsia="zh-CN"/>
        </w:rPr>
        <w:t>欢乐芜湖</w:t>
      </w:r>
      <w:r>
        <w:rPr>
          <w:rFonts w:hint="eastAsia" w:asciiTheme="minorEastAsia" w:hAnsiTheme="minorEastAsia" w:eastAsiaTheme="minorEastAsia" w:cstheme="minorEastAsia"/>
          <w:bCs/>
          <w:color w:val="auto"/>
          <w:sz w:val="24"/>
          <w:szCs w:val="24"/>
          <w:highlight w:val="none"/>
        </w:rPr>
        <w:t>文旅</w:t>
      </w:r>
      <w:r>
        <w:rPr>
          <w:rFonts w:hint="eastAsia" w:asciiTheme="minorEastAsia" w:hAnsiTheme="minorEastAsia" w:eastAsiaTheme="minorEastAsia" w:cstheme="minorEastAsia"/>
          <w:bCs/>
          <w:color w:val="auto"/>
          <w:sz w:val="24"/>
          <w:szCs w:val="24"/>
          <w:highlight w:val="none"/>
          <w:lang w:eastAsia="zh-CN"/>
        </w:rPr>
        <w:t>宣传</w:t>
      </w:r>
      <w:r>
        <w:rPr>
          <w:rFonts w:hint="eastAsia" w:asciiTheme="minorEastAsia" w:hAnsiTheme="minorEastAsia" w:eastAsiaTheme="minorEastAsia" w:cstheme="minorEastAsia"/>
          <w:bCs/>
          <w:color w:val="auto"/>
          <w:sz w:val="24"/>
          <w:szCs w:val="24"/>
          <w:highlight w:val="none"/>
        </w:rPr>
        <w:t>指南矩阵，在综合性指南的基础上，</w:t>
      </w:r>
      <w:r>
        <w:rPr>
          <w:rFonts w:hint="eastAsia" w:asciiTheme="minorEastAsia" w:hAnsiTheme="minorEastAsia" w:eastAsiaTheme="minorEastAsia" w:cstheme="minorEastAsia"/>
          <w:bCs/>
          <w:color w:val="auto"/>
          <w:sz w:val="24"/>
          <w:szCs w:val="24"/>
          <w:highlight w:val="none"/>
          <w:lang w:eastAsia="zh-CN"/>
        </w:rPr>
        <w:t>编制</w:t>
      </w:r>
      <w:r>
        <w:rPr>
          <w:rFonts w:hint="eastAsia" w:asciiTheme="minorEastAsia" w:hAnsiTheme="minorEastAsia" w:eastAsiaTheme="minorEastAsia" w:cstheme="minorEastAsia"/>
          <w:bCs/>
          <w:color w:val="auto"/>
          <w:sz w:val="24"/>
          <w:szCs w:val="24"/>
          <w:highlight w:val="none"/>
        </w:rPr>
        <w:t>专题分册，每个</w:t>
      </w:r>
      <w:r>
        <w:rPr>
          <w:rFonts w:hint="eastAsia" w:asciiTheme="minorEastAsia" w:hAnsiTheme="minorEastAsia" w:eastAsiaTheme="minorEastAsia" w:cstheme="minorEastAsia"/>
          <w:bCs/>
          <w:color w:val="auto"/>
          <w:sz w:val="24"/>
          <w:szCs w:val="24"/>
        </w:rPr>
        <w:t>专题就一个特色行业或品类，有利于游客根据自身需求快速找到想要的信息，利于精准吸引及服务细分客群。</w:t>
      </w:r>
    </w:p>
    <w:p>
      <w:pPr>
        <w:pStyle w:val="13"/>
        <w:spacing w:line="400" w:lineRule="exact"/>
        <w:ind w:firstLine="480" w:firstLineChars="200"/>
        <w:rPr>
          <w:rFonts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为利用好移动阅读平台，让信息传递摆脱时段与地域的限制，</w:t>
      </w:r>
      <w:r>
        <w:rPr>
          <w:rFonts w:hint="eastAsia" w:asciiTheme="minorEastAsia" w:hAnsiTheme="minorEastAsia" w:eastAsiaTheme="minorEastAsia" w:cstheme="minorEastAsia"/>
          <w:bCs/>
          <w:color w:val="auto"/>
          <w:sz w:val="24"/>
          <w:szCs w:val="24"/>
          <w:lang w:eastAsia="zh-CN"/>
        </w:rPr>
        <w:t>在纸质册宣传的同时</w:t>
      </w:r>
      <w:r>
        <w:rPr>
          <w:rFonts w:hint="eastAsia" w:asciiTheme="minorEastAsia" w:hAnsiTheme="minorEastAsia" w:eastAsiaTheme="minorEastAsia" w:cstheme="minorEastAsia"/>
          <w:bCs/>
          <w:color w:val="auto"/>
          <w:sz w:val="24"/>
          <w:szCs w:val="24"/>
        </w:rPr>
        <w:t>对指南进行深入的电子化。针对每一本指南打造一本电子书，可以随手转发传播，可以随时随地打开，想看就看，同时又能增加公共服务平台的用户粘性。</w:t>
      </w:r>
    </w:p>
    <w:p>
      <w:pPr>
        <w:pStyle w:val="13"/>
        <w:spacing w:line="400" w:lineRule="exact"/>
        <w:ind w:firstLine="480" w:firstLineChars="200"/>
        <w:rPr>
          <w:rFonts w:hint="eastAsia" w:asciiTheme="minorEastAsia" w:hAnsiTheme="minorEastAsia" w:eastAsiaTheme="minorEastAsia" w:cstheme="minorEastAsia"/>
          <w:b/>
          <w:bCs/>
          <w:color w:val="auto"/>
          <w:sz w:val="26"/>
          <w:szCs w:val="26"/>
        </w:rPr>
      </w:pPr>
      <w:r>
        <w:rPr>
          <w:rFonts w:hint="eastAsia" w:asciiTheme="minorEastAsia" w:hAnsiTheme="minorEastAsia" w:eastAsiaTheme="minorEastAsia" w:cstheme="minorEastAsia"/>
          <w:bCs/>
          <w:color w:val="auto"/>
          <w:sz w:val="24"/>
          <w:szCs w:val="24"/>
        </w:rPr>
        <w:t>电子书有翻页、页面缩略图、页面放大、页面搜索、页面切换等基础功能，并可以根据需求，添加视频、超链接、页面跳转、音频和图片，实现多样化的视听服务。</w:t>
      </w:r>
    </w:p>
    <w:p>
      <w:pPr>
        <w:pStyle w:val="13"/>
        <w:keepNext w:val="0"/>
        <w:keepLines w:val="0"/>
        <w:pageBreakBefore w:val="0"/>
        <w:widowControl w:val="0"/>
        <w:kinsoku/>
        <w:wordWrap/>
        <w:overflowPunct/>
        <w:topLinePunct w:val="0"/>
        <w:autoSpaceDE/>
        <w:autoSpaceDN/>
        <w:bidi w:val="0"/>
        <w:adjustRightInd/>
        <w:snapToGrid/>
        <w:spacing w:line="400" w:lineRule="exact"/>
        <w:ind w:firstLine="522" w:firstLineChars="200"/>
        <w:textAlignment w:val="auto"/>
        <w:rPr>
          <w:rFonts w:asciiTheme="minorEastAsia" w:hAnsiTheme="minorEastAsia" w:eastAsiaTheme="minorEastAsia" w:cstheme="minorEastAsia"/>
          <w:b/>
          <w:bCs/>
          <w:color w:val="auto"/>
          <w:sz w:val="26"/>
          <w:szCs w:val="26"/>
        </w:rPr>
      </w:pPr>
      <w:r>
        <w:rPr>
          <w:rFonts w:hint="eastAsia" w:asciiTheme="minorEastAsia" w:hAnsiTheme="minorEastAsia" w:eastAsiaTheme="minorEastAsia" w:cstheme="minorEastAsia"/>
          <w:b/>
          <w:bCs/>
          <w:color w:val="auto"/>
          <w:sz w:val="26"/>
          <w:szCs w:val="26"/>
        </w:rPr>
        <w:t>二、采购内容</w:t>
      </w:r>
    </w:p>
    <w:p>
      <w:pPr>
        <w:pStyle w:val="13"/>
        <w:spacing w:line="40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编制</w:t>
      </w:r>
      <w:r>
        <w:rPr>
          <w:rFonts w:hint="eastAsia" w:asciiTheme="minorEastAsia" w:hAnsiTheme="minorEastAsia" w:eastAsiaTheme="minorEastAsia" w:cstheme="minorEastAsia"/>
          <w:bCs/>
          <w:color w:val="auto"/>
          <w:sz w:val="24"/>
          <w:szCs w:val="24"/>
          <w:lang w:eastAsia="zh-CN"/>
        </w:rPr>
        <w:t>欢乐</w:t>
      </w:r>
      <w:r>
        <w:rPr>
          <w:rFonts w:hint="eastAsia" w:asciiTheme="minorEastAsia" w:hAnsiTheme="minorEastAsia" w:eastAsiaTheme="minorEastAsia" w:cstheme="minorEastAsia"/>
          <w:bCs/>
          <w:color w:val="auto"/>
          <w:sz w:val="24"/>
          <w:szCs w:val="24"/>
        </w:rPr>
        <w:t>芜湖全域旅游系列宣传册,具体包含图文信息采集、内容编辑、设计、印刷、电子书制作等内容。</w:t>
      </w:r>
    </w:p>
    <w:p>
      <w:pPr>
        <w:pStyle w:val="13"/>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（一）版本及数量</w:t>
      </w:r>
    </w:p>
    <w:p>
      <w:pPr>
        <w:pStyle w:val="13"/>
        <w:spacing w:line="400" w:lineRule="exact"/>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芜湖全域旅游系列宣传品项目分为1本综合版手册，1</w:t>
      </w:r>
      <w:r>
        <w:rPr>
          <w:rFonts w:hint="eastAsia" w:asciiTheme="minorEastAsia" w:hAnsiTheme="minorEastAsia" w:eastAsiaTheme="minorEastAsia" w:cstheme="minorEastAsia"/>
          <w:bCs/>
          <w:color w:val="auto"/>
          <w:sz w:val="24"/>
          <w:szCs w:val="24"/>
          <w:highlight w:val="none"/>
          <w:lang w:val="en-US" w:eastAsia="zh-CN"/>
        </w:rPr>
        <w:t>2</w:t>
      </w:r>
      <w:r>
        <w:rPr>
          <w:rFonts w:hint="eastAsia" w:asciiTheme="minorEastAsia" w:hAnsiTheme="minorEastAsia" w:eastAsiaTheme="minorEastAsia" w:cstheme="minorEastAsia"/>
          <w:bCs/>
          <w:color w:val="auto"/>
          <w:sz w:val="24"/>
          <w:szCs w:val="24"/>
          <w:highlight w:val="none"/>
        </w:rPr>
        <w:t>本分册</w:t>
      </w:r>
      <w:r>
        <w:rPr>
          <w:rFonts w:hint="eastAsia" w:asciiTheme="minorEastAsia" w:hAnsiTheme="minorEastAsia" w:eastAsiaTheme="minorEastAsia" w:cstheme="minorEastAsia"/>
          <w:bCs/>
          <w:color w:val="auto"/>
          <w:sz w:val="24"/>
          <w:szCs w:val="24"/>
          <w:highlight w:val="none"/>
          <w:lang w:val="en-US" w:eastAsia="zh-CN"/>
        </w:rPr>
        <w:t>(</w:t>
      </w:r>
      <w:r>
        <w:rPr>
          <w:rFonts w:hint="eastAsia" w:asciiTheme="minorEastAsia" w:hAnsiTheme="minorEastAsia" w:eastAsiaTheme="minorEastAsia" w:cstheme="minorEastAsia"/>
          <w:bCs/>
          <w:color w:val="auto"/>
          <w:sz w:val="24"/>
          <w:szCs w:val="24"/>
          <w:highlight w:val="none"/>
          <w:lang w:eastAsia="zh-CN"/>
        </w:rPr>
        <w:t>含</w:t>
      </w:r>
      <w:r>
        <w:rPr>
          <w:rFonts w:hint="eastAsia" w:asciiTheme="minorEastAsia" w:hAnsiTheme="minorEastAsia" w:eastAsiaTheme="minorEastAsia" w:cstheme="minorEastAsia"/>
          <w:bCs/>
          <w:color w:val="auto"/>
          <w:sz w:val="24"/>
          <w:szCs w:val="24"/>
          <w:highlight w:val="none"/>
        </w:rPr>
        <w:t>纸质版和电子书</w:t>
      </w:r>
      <w:r>
        <w:rPr>
          <w:rFonts w:hint="eastAsia" w:asciiTheme="minorEastAsia" w:hAnsiTheme="minorEastAsia" w:eastAsiaTheme="minorEastAsia" w:cstheme="minorEastAsia"/>
          <w:bCs/>
          <w:color w:val="auto"/>
          <w:sz w:val="24"/>
          <w:szCs w:val="24"/>
          <w:highlight w:val="none"/>
          <w:lang w:val="en-US" w:eastAsia="zh-CN"/>
        </w:rPr>
        <w:t>)</w:t>
      </w:r>
      <w:r>
        <w:rPr>
          <w:rFonts w:hint="eastAsia" w:asciiTheme="minorEastAsia" w:hAnsiTheme="minorEastAsia" w:eastAsiaTheme="minorEastAsia" w:cstheme="minorEastAsia"/>
          <w:bCs/>
          <w:color w:val="auto"/>
          <w:sz w:val="24"/>
          <w:szCs w:val="24"/>
          <w:highlight w:val="none"/>
        </w:rPr>
        <w:t>。纸质版印刷数量：综合册5万册，分册各1万册，共计1</w:t>
      </w:r>
      <w:r>
        <w:rPr>
          <w:rFonts w:hint="eastAsia" w:asciiTheme="minorEastAsia" w:hAnsiTheme="minorEastAsia" w:eastAsiaTheme="minorEastAsia" w:cstheme="minorEastAsia"/>
          <w:bCs/>
          <w:color w:val="auto"/>
          <w:sz w:val="24"/>
          <w:szCs w:val="24"/>
          <w:highlight w:val="none"/>
          <w:lang w:val="en-US" w:eastAsia="zh-CN"/>
        </w:rPr>
        <w:t>7</w:t>
      </w:r>
      <w:r>
        <w:rPr>
          <w:rFonts w:hint="eastAsia" w:asciiTheme="minorEastAsia" w:hAnsiTheme="minorEastAsia" w:eastAsiaTheme="minorEastAsia" w:cstheme="minorEastAsia"/>
          <w:bCs/>
          <w:color w:val="auto"/>
          <w:sz w:val="24"/>
          <w:szCs w:val="24"/>
          <w:highlight w:val="none"/>
        </w:rPr>
        <w:t>万册</w:t>
      </w:r>
      <w:r>
        <w:rPr>
          <w:rFonts w:hint="eastAsia" w:asciiTheme="minorEastAsia" w:hAnsiTheme="minorEastAsia" w:eastAsiaTheme="minorEastAsia" w:cstheme="minorEastAsia"/>
          <w:bCs/>
          <w:color w:val="auto"/>
          <w:sz w:val="24"/>
          <w:szCs w:val="24"/>
          <w:highlight w:val="none"/>
          <w:lang w:val="en-US" w:eastAsia="zh-CN"/>
        </w:rPr>
        <w:t>,具体以合同中约定为准</w:t>
      </w:r>
      <w:r>
        <w:rPr>
          <w:rFonts w:hint="eastAsia" w:asciiTheme="minorEastAsia" w:hAnsiTheme="minorEastAsia" w:eastAsiaTheme="minorEastAsia" w:cstheme="minorEastAsia"/>
          <w:bCs/>
          <w:color w:val="auto"/>
          <w:sz w:val="24"/>
          <w:szCs w:val="24"/>
          <w:highlight w:val="none"/>
        </w:rPr>
        <w:t>。</w:t>
      </w:r>
    </w:p>
    <w:p>
      <w:pPr>
        <w:pStyle w:val="13"/>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（二）内容要求</w:t>
      </w:r>
    </w:p>
    <w:p>
      <w:pPr>
        <w:pStyle w:val="13"/>
        <w:spacing w:line="40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1、综合版手册</w:t>
      </w:r>
    </w:p>
    <w:p>
      <w:pPr>
        <w:pStyle w:val="13"/>
        <w:spacing w:line="40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综合版手册内容需涵盖各区、县（市）旅游六要素信息。根据文旅资源、城市热点、季节特色策划不同主题游玩线路。</w:t>
      </w:r>
    </w:p>
    <w:p>
      <w:pPr>
        <w:pStyle w:val="13"/>
        <w:spacing w:line="40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2、分册</w:t>
      </w:r>
    </w:p>
    <w:p>
      <w:pPr>
        <w:pStyle w:val="13"/>
        <w:spacing w:line="40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挖掘芜湖文化资源，从</w:t>
      </w:r>
      <w:r>
        <w:rPr>
          <w:rFonts w:hint="eastAsia" w:asciiTheme="minorEastAsia" w:hAnsiTheme="minorEastAsia" w:eastAsiaTheme="minorEastAsia" w:cstheme="minorEastAsia"/>
          <w:bCs/>
          <w:color w:val="auto"/>
          <w:sz w:val="24"/>
          <w:szCs w:val="24"/>
          <w:lang w:eastAsia="zh-CN"/>
        </w:rPr>
        <w:t>山水、乡村、研学、动漫、夜游等</w:t>
      </w:r>
      <w:r>
        <w:rPr>
          <w:rFonts w:hint="eastAsia" w:asciiTheme="minorEastAsia" w:hAnsiTheme="minorEastAsia" w:eastAsiaTheme="minorEastAsia" w:cstheme="minorEastAsia"/>
          <w:bCs/>
          <w:color w:val="auto"/>
          <w:sz w:val="24"/>
          <w:szCs w:val="24"/>
        </w:rPr>
        <w:t>角度编写深度游分册，内容上注重体验性和时效性，满足个性化、小众化游客需求。</w:t>
      </w:r>
    </w:p>
    <w:p>
      <w:pPr>
        <w:pStyle w:val="13"/>
        <w:spacing w:line="40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3、信息采集要求</w:t>
      </w:r>
    </w:p>
    <w:p>
      <w:pPr>
        <w:pStyle w:val="13"/>
        <w:spacing w:line="40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近年来芜湖市的文旅行业发展迅猛，设施服务和产品更新提质成果丰富，服务单位需协助甲方开展全市文旅行业服务及产品的摸排梳理工作，需配备采编人员参与甲方指定的考察活动，并安排采写摄影团队，独立开展实地调研，整理汇总相关的文字、图片、视频资料，形成项目资料库。</w:t>
      </w:r>
    </w:p>
    <w:p>
      <w:pPr>
        <w:pStyle w:val="13"/>
        <w:spacing w:line="40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4、内容编辑要求</w:t>
      </w:r>
    </w:p>
    <w:p>
      <w:pPr>
        <w:pStyle w:val="13"/>
        <w:spacing w:line="40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以</w:t>
      </w:r>
      <w:r>
        <w:rPr>
          <w:rFonts w:hint="eastAsia" w:asciiTheme="minorEastAsia" w:hAnsiTheme="minorEastAsia" w:eastAsiaTheme="minorEastAsia" w:cstheme="minorEastAsia"/>
          <w:bCs/>
          <w:color w:val="auto"/>
          <w:sz w:val="24"/>
          <w:szCs w:val="24"/>
          <w:highlight w:val="none"/>
          <w:lang w:val="en-US" w:eastAsia="zh-CN"/>
        </w:rPr>
        <w:t>今年及未来几年内</w:t>
      </w:r>
      <w:r>
        <w:rPr>
          <w:rFonts w:hint="eastAsia" w:asciiTheme="minorEastAsia" w:hAnsiTheme="minorEastAsia" w:eastAsiaTheme="minorEastAsia" w:cstheme="minorEastAsia"/>
          <w:bCs/>
          <w:color w:val="auto"/>
          <w:sz w:val="24"/>
          <w:szCs w:val="24"/>
        </w:rPr>
        <w:t>的文旅行业新形势、省市文旅政策动向、采购方年度主要工作为导向，制定合理的综合性指南和专题分册的编制方案。每项专题分册主题明确，契合旅游市场实际需求，避免内容重复，</w:t>
      </w:r>
      <w:r>
        <w:rPr>
          <w:rFonts w:hint="eastAsia" w:asciiTheme="minorEastAsia" w:hAnsiTheme="minorEastAsia" w:eastAsiaTheme="minorEastAsia" w:cstheme="minorEastAsia"/>
          <w:bCs/>
          <w:color w:val="auto"/>
          <w:sz w:val="24"/>
          <w:szCs w:val="24"/>
          <w:lang w:eastAsia="zh-CN"/>
        </w:rPr>
        <w:t>中标后</w:t>
      </w:r>
      <w:r>
        <w:rPr>
          <w:rFonts w:hint="eastAsia" w:asciiTheme="minorEastAsia" w:hAnsiTheme="minorEastAsia" w:eastAsiaTheme="minorEastAsia" w:cstheme="minorEastAsia"/>
          <w:bCs/>
          <w:color w:val="auto"/>
          <w:sz w:val="24"/>
          <w:szCs w:val="24"/>
        </w:rPr>
        <w:t>根据甲方要求及时调整修改，直至定稿。</w:t>
      </w:r>
    </w:p>
    <w:p>
      <w:pPr>
        <w:pStyle w:val="13"/>
        <w:spacing w:line="40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5、版式设计要求</w:t>
      </w:r>
    </w:p>
    <w:p>
      <w:pPr>
        <w:pStyle w:val="13"/>
        <w:spacing w:line="40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在照片选择上，应选用实地拍摄、以及近年来创作的新照片。在设计上，应紧跟北京、上海、杭州等头部旅游城市的设计潮流和国际化视野，做到新颖、时尚且实用。</w:t>
      </w:r>
    </w:p>
    <w:p>
      <w:pPr>
        <w:pStyle w:val="13"/>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（三）纸质版用纸及印刷要求</w:t>
      </w:r>
    </w:p>
    <w:p>
      <w:pPr>
        <w:ind w:firstLine="480" w:firstLineChars="20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册数：1本综合册＋1</w:t>
      </w:r>
      <w:r>
        <w:rPr>
          <w:rFonts w:hint="eastAsia" w:asciiTheme="minorEastAsia" w:hAnsiTheme="minorEastAsia" w:eastAsiaTheme="minorEastAsia" w:cstheme="minorEastAsia"/>
          <w:bCs/>
          <w:color w:val="auto"/>
          <w:sz w:val="24"/>
          <w:szCs w:val="24"/>
          <w:highlight w:val="none"/>
          <w:lang w:val="en-US" w:eastAsia="zh-CN"/>
        </w:rPr>
        <w:t>2</w:t>
      </w:r>
      <w:r>
        <w:rPr>
          <w:rFonts w:hint="eastAsia" w:asciiTheme="minorEastAsia" w:hAnsiTheme="minorEastAsia" w:eastAsiaTheme="minorEastAsia" w:cstheme="minorEastAsia"/>
          <w:bCs/>
          <w:color w:val="auto"/>
          <w:sz w:val="24"/>
          <w:szCs w:val="24"/>
          <w:highlight w:val="none"/>
        </w:rPr>
        <w:t>本分册；</w:t>
      </w:r>
      <w:r>
        <w:rPr>
          <w:rFonts w:hint="eastAsia" w:asciiTheme="minorEastAsia" w:hAnsiTheme="minorEastAsia" w:eastAsiaTheme="minorEastAsia" w:cstheme="minorEastAsia"/>
          <w:bCs/>
          <w:color w:val="auto"/>
          <w:sz w:val="24"/>
          <w:szCs w:val="24"/>
          <w:highlight w:val="none"/>
          <w:lang w:eastAsia="zh-CN"/>
        </w:rPr>
        <w:t>规格</w:t>
      </w:r>
      <w:r>
        <w:rPr>
          <w:rFonts w:hint="eastAsia" w:asciiTheme="minorEastAsia" w:hAnsiTheme="minorEastAsia" w:eastAsiaTheme="minorEastAsia" w:cstheme="minorEastAsia"/>
          <w:bCs/>
          <w:color w:val="auto"/>
          <w:sz w:val="24"/>
          <w:szCs w:val="24"/>
          <w:highlight w:val="none"/>
        </w:rPr>
        <w:t>为115mm×210mm；纸张：封面1</w:t>
      </w:r>
      <w:r>
        <w:rPr>
          <w:rFonts w:hint="eastAsia" w:asciiTheme="minorEastAsia" w:hAnsiTheme="minorEastAsia" w:eastAsiaTheme="minorEastAsia" w:cstheme="minorEastAsia"/>
          <w:bCs/>
          <w:color w:val="auto"/>
          <w:sz w:val="24"/>
          <w:szCs w:val="24"/>
          <w:highlight w:val="none"/>
          <w:lang w:val="en-US" w:eastAsia="zh-CN"/>
        </w:rPr>
        <w:t>57</w:t>
      </w:r>
      <w:r>
        <w:rPr>
          <w:rFonts w:hint="eastAsia" w:asciiTheme="minorEastAsia" w:hAnsiTheme="minorEastAsia" w:eastAsiaTheme="minorEastAsia" w:cstheme="minorEastAsia"/>
          <w:bCs/>
          <w:color w:val="auto"/>
          <w:sz w:val="24"/>
          <w:szCs w:val="24"/>
          <w:highlight w:val="none"/>
        </w:rPr>
        <w:t>g哑粉，内页</w:t>
      </w:r>
      <w:r>
        <w:rPr>
          <w:rFonts w:hint="eastAsia" w:asciiTheme="minorEastAsia" w:hAnsiTheme="minorEastAsia" w:eastAsiaTheme="minorEastAsia" w:cstheme="minorEastAsia"/>
          <w:bCs/>
          <w:color w:val="auto"/>
          <w:sz w:val="24"/>
          <w:szCs w:val="24"/>
          <w:highlight w:val="none"/>
          <w:lang w:val="en-US" w:eastAsia="zh-CN"/>
        </w:rPr>
        <w:t>105</w:t>
      </w:r>
      <w:r>
        <w:rPr>
          <w:rFonts w:hint="eastAsia" w:asciiTheme="minorEastAsia" w:hAnsiTheme="minorEastAsia" w:eastAsiaTheme="minorEastAsia" w:cstheme="minorEastAsia"/>
          <w:bCs/>
          <w:color w:val="auto"/>
          <w:sz w:val="24"/>
          <w:szCs w:val="24"/>
          <w:highlight w:val="none"/>
        </w:rPr>
        <w:t>g哑粉；颜色：4+4；装订：综合册胶装，分册起码订；工艺：封面封底过油；</w:t>
      </w:r>
      <w:r>
        <w:rPr>
          <w:rFonts w:hint="eastAsia" w:asciiTheme="minorEastAsia" w:hAnsiTheme="minorEastAsia" w:eastAsiaTheme="minorEastAsia" w:cstheme="minorEastAsia"/>
          <w:bCs/>
          <w:color w:val="auto"/>
          <w:sz w:val="24"/>
          <w:szCs w:val="24"/>
          <w:highlight w:val="none"/>
          <w:lang w:eastAsia="zh-CN"/>
        </w:rPr>
        <w:t>页</w:t>
      </w:r>
      <w:r>
        <w:rPr>
          <w:rFonts w:hint="eastAsia" w:asciiTheme="minorEastAsia" w:hAnsiTheme="minorEastAsia" w:eastAsiaTheme="minorEastAsia" w:cstheme="minorEastAsia"/>
          <w:bCs/>
          <w:color w:val="auto"/>
          <w:sz w:val="24"/>
          <w:szCs w:val="24"/>
          <w:highlight w:val="none"/>
        </w:rPr>
        <w:t>数为综合版册＋分册</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rPr>
        <w:t>共</w:t>
      </w:r>
      <w:r>
        <w:rPr>
          <w:rFonts w:hint="eastAsia" w:asciiTheme="minorEastAsia" w:hAnsiTheme="minorEastAsia" w:eastAsiaTheme="minorEastAsia" w:cstheme="minorEastAsia"/>
          <w:bCs/>
          <w:color w:val="auto"/>
          <w:sz w:val="24"/>
          <w:szCs w:val="24"/>
          <w:highlight w:val="none"/>
          <w:lang w:val="en-US" w:eastAsia="zh-CN"/>
        </w:rPr>
        <w:t>396</w:t>
      </w:r>
      <w:r>
        <w:rPr>
          <w:rFonts w:hint="eastAsia" w:asciiTheme="minorEastAsia" w:hAnsiTheme="minorEastAsia" w:eastAsiaTheme="minorEastAsia" w:cstheme="minorEastAsia"/>
          <w:bCs/>
          <w:color w:val="auto"/>
          <w:sz w:val="24"/>
          <w:szCs w:val="24"/>
          <w:highlight w:val="none"/>
          <w:lang w:eastAsia="zh-CN"/>
        </w:rPr>
        <w:t>页</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eastAsia="zh-CN"/>
        </w:rPr>
        <w:t>其中</w:t>
      </w:r>
      <w:r>
        <w:rPr>
          <w:rFonts w:hint="eastAsia" w:asciiTheme="minorEastAsia" w:hAnsiTheme="minorEastAsia" w:eastAsiaTheme="minorEastAsia" w:cstheme="minorEastAsia"/>
          <w:bCs/>
          <w:color w:val="auto"/>
          <w:sz w:val="24"/>
          <w:szCs w:val="24"/>
          <w:highlight w:val="none"/>
        </w:rPr>
        <w:t>综合册60p，每册分册</w:t>
      </w:r>
      <w:r>
        <w:rPr>
          <w:rFonts w:hint="eastAsia" w:asciiTheme="minorEastAsia" w:hAnsiTheme="minorEastAsia" w:eastAsiaTheme="minorEastAsia" w:cstheme="minorEastAsia"/>
          <w:bCs/>
          <w:color w:val="auto"/>
          <w:sz w:val="24"/>
          <w:szCs w:val="24"/>
          <w:highlight w:val="none"/>
          <w:lang w:val="en-US" w:eastAsia="zh-CN"/>
        </w:rPr>
        <w:t>28</w:t>
      </w:r>
      <w:r>
        <w:rPr>
          <w:rFonts w:hint="eastAsia" w:asciiTheme="minorEastAsia" w:hAnsiTheme="minorEastAsia" w:eastAsiaTheme="minorEastAsia" w:cstheme="minorEastAsia"/>
          <w:bCs/>
          <w:color w:val="auto"/>
          <w:sz w:val="24"/>
          <w:szCs w:val="24"/>
          <w:highlight w:val="none"/>
        </w:rPr>
        <w:t>p）。</w:t>
      </w:r>
    </w:p>
    <w:p>
      <w:pPr>
        <w:pStyle w:val="13"/>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eastAsiaTheme="minorEastAsia" w:cstheme="minorEastAsia"/>
          <w:b/>
          <w:bCs/>
          <w:color w:val="auto"/>
          <w:sz w:val="24"/>
          <w:szCs w:val="24"/>
        </w:rPr>
        <w:t>（四）电子书要求</w:t>
      </w:r>
    </w:p>
    <w:p>
      <w:pPr>
        <w:pStyle w:val="13"/>
        <w:spacing w:line="400" w:lineRule="exact"/>
        <w:ind w:firstLine="480" w:firstLineChars="200"/>
        <w:rPr>
          <w:rFonts w:hint="eastAsia" w:asciiTheme="minorEastAsia" w:hAnsiTheme="minorEastAsia" w:eastAsiaTheme="minorEastAsia" w:cstheme="minorEastAsia"/>
          <w:bCs/>
          <w:color w:val="auto"/>
          <w:sz w:val="24"/>
          <w:szCs w:val="24"/>
          <w:highlight w:val="yellow"/>
        </w:rPr>
      </w:pPr>
      <w:r>
        <w:rPr>
          <w:rFonts w:hint="eastAsia" w:asciiTheme="minorEastAsia" w:hAnsiTheme="minorEastAsia" w:eastAsiaTheme="minorEastAsia" w:cstheme="minorEastAsia"/>
          <w:bCs/>
          <w:color w:val="auto"/>
          <w:sz w:val="24"/>
          <w:szCs w:val="24"/>
          <w:lang w:eastAsia="zh-CN"/>
        </w:rPr>
        <w:t>综合册和</w:t>
      </w:r>
      <w:r>
        <w:rPr>
          <w:rFonts w:hint="eastAsia" w:asciiTheme="minorEastAsia" w:hAnsiTheme="minorEastAsia" w:eastAsiaTheme="minorEastAsia" w:cstheme="minorEastAsia"/>
          <w:bCs/>
          <w:color w:val="auto"/>
          <w:sz w:val="24"/>
          <w:szCs w:val="24"/>
          <w:lang w:val="en-US" w:eastAsia="zh-CN"/>
        </w:rPr>
        <w:t>12本分册</w:t>
      </w:r>
      <w:r>
        <w:rPr>
          <w:rFonts w:hint="eastAsia" w:asciiTheme="minorEastAsia" w:hAnsiTheme="minorEastAsia" w:eastAsiaTheme="minorEastAsia" w:cstheme="minorEastAsia"/>
          <w:bCs/>
          <w:color w:val="auto"/>
          <w:sz w:val="24"/>
          <w:szCs w:val="24"/>
        </w:rPr>
        <w:t>每本</w:t>
      </w:r>
      <w:r>
        <w:rPr>
          <w:rFonts w:hint="eastAsia" w:asciiTheme="minorEastAsia" w:hAnsiTheme="minorEastAsia" w:eastAsiaTheme="minorEastAsia" w:cstheme="minorEastAsia"/>
          <w:bCs/>
          <w:color w:val="auto"/>
          <w:sz w:val="24"/>
          <w:szCs w:val="24"/>
          <w:lang w:eastAsia="zh-CN"/>
        </w:rPr>
        <w:t>都要</w:t>
      </w:r>
      <w:r>
        <w:rPr>
          <w:rFonts w:hint="eastAsia" w:asciiTheme="minorEastAsia" w:hAnsiTheme="minorEastAsia" w:eastAsiaTheme="minorEastAsia" w:cstheme="minorEastAsia"/>
          <w:bCs/>
          <w:color w:val="auto"/>
          <w:sz w:val="24"/>
          <w:szCs w:val="24"/>
        </w:rPr>
        <w:t>制作成电子书</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电</w:t>
      </w:r>
      <w:r>
        <w:rPr>
          <w:rFonts w:hint="eastAsia" w:asciiTheme="minorEastAsia" w:hAnsiTheme="minorEastAsia" w:eastAsiaTheme="minorEastAsia" w:cstheme="minorEastAsia"/>
          <w:bCs/>
          <w:color w:val="auto"/>
          <w:sz w:val="24"/>
          <w:szCs w:val="24"/>
          <w:highlight w:val="none"/>
        </w:rPr>
        <w:t>子书版式</w:t>
      </w:r>
      <w:r>
        <w:rPr>
          <w:rFonts w:hint="eastAsia" w:asciiTheme="minorEastAsia" w:hAnsiTheme="minorEastAsia" w:eastAsiaTheme="minorEastAsia" w:cstheme="minorEastAsia"/>
          <w:bCs/>
          <w:color w:val="auto"/>
          <w:sz w:val="24"/>
          <w:szCs w:val="24"/>
          <w:highlight w:val="none"/>
          <w:lang w:eastAsia="zh-CN"/>
        </w:rPr>
        <w:t>内容</w:t>
      </w:r>
      <w:r>
        <w:rPr>
          <w:rFonts w:hint="eastAsia" w:asciiTheme="minorEastAsia" w:hAnsiTheme="minorEastAsia" w:eastAsiaTheme="minorEastAsia" w:cstheme="minorEastAsia"/>
          <w:bCs/>
          <w:color w:val="auto"/>
          <w:sz w:val="24"/>
          <w:szCs w:val="24"/>
          <w:highlight w:val="none"/>
        </w:rPr>
        <w:t>与纸质书一样，可以左右翻页、可放大页面；可以线上推广，转发分享。</w:t>
      </w:r>
    </w:p>
    <w:p>
      <w:pPr>
        <w:pStyle w:val="13"/>
        <w:keepNext w:val="0"/>
        <w:keepLines w:val="0"/>
        <w:pageBreakBefore w:val="0"/>
        <w:widowControl w:val="0"/>
        <w:kinsoku/>
        <w:wordWrap/>
        <w:overflowPunct/>
        <w:topLinePunct w:val="0"/>
        <w:autoSpaceDE/>
        <w:autoSpaceDN/>
        <w:bidi w:val="0"/>
        <w:adjustRightInd/>
        <w:snapToGrid/>
        <w:spacing w:line="400" w:lineRule="exact"/>
        <w:ind w:firstLine="522" w:firstLineChars="200"/>
        <w:textAlignment w:val="auto"/>
        <w:rPr>
          <w:rFonts w:hint="eastAsia" w:asciiTheme="minorEastAsia" w:hAnsiTheme="minorEastAsia" w:eastAsiaTheme="minorEastAsia" w:cstheme="minorEastAsia"/>
          <w:b/>
          <w:bCs/>
          <w:color w:val="auto"/>
          <w:sz w:val="26"/>
          <w:szCs w:val="26"/>
        </w:rPr>
      </w:pPr>
      <w:r>
        <w:rPr>
          <w:rFonts w:hint="eastAsia" w:asciiTheme="minorEastAsia" w:hAnsiTheme="minorEastAsia" w:eastAsiaTheme="minorEastAsia" w:cstheme="minorEastAsia"/>
          <w:b/>
          <w:bCs/>
          <w:color w:val="auto"/>
          <w:sz w:val="26"/>
          <w:szCs w:val="26"/>
          <w:lang w:eastAsia="zh-CN"/>
        </w:rPr>
        <w:t>三</w:t>
      </w:r>
      <w:r>
        <w:rPr>
          <w:rFonts w:hint="eastAsia" w:asciiTheme="minorEastAsia" w:hAnsiTheme="minorEastAsia" w:eastAsiaTheme="minorEastAsia" w:cstheme="minorEastAsia"/>
          <w:b/>
          <w:bCs/>
          <w:color w:val="auto"/>
          <w:sz w:val="26"/>
          <w:szCs w:val="26"/>
        </w:rPr>
        <w:t>、对服务团队人员要求</w:t>
      </w:r>
    </w:p>
    <w:p>
      <w:pPr>
        <w:spacing w:line="360" w:lineRule="auto"/>
        <w:ind w:firstLine="480" w:firstLineChars="200"/>
        <w:rPr>
          <w:rFonts w:hint="eastAsia" w:ascii="宋体" w:hAnsi="宋体" w:eastAsia="宋体" w:cs="宋体"/>
          <w:b w:val="0"/>
          <w:bCs w:val="0"/>
          <w:color w:val="auto"/>
          <w:sz w:val="24"/>
          <w:lang w:val="en-US" w:eastAsia="zh-CN"/>
        </w:rPr>
      </w:pPr>
      <w:r>
        <w:rPr>
          <w:rFonts w:hint="eastAsia" w:ascii="宋体" w:hAnsi="宋体" w:cs="宋体"/>
          <w:b w:val="0"/>
          <w:bCs w:val="0"/>
          <w:color w:val="auto"/>
          <w:sz w:val="24"/>
        </w:rPr>
        <w:t>人员丰富、</w:t>
      </w:r>
      <w:r>
        <w:rPr>
          <w:rFonts w:hint="eastAsia" w:ascii="宋体" w:hAnsi="宋体" w:cs="宋体"/>
          <w:b w:val="0"/>
          <w:bCs w:val="0"/>
          <w:color w:val="auto"/>
          <w:sz w:val="24"/>
          <w:lang w:eastAsia="zh-CN"/>
        </w:rPr>
        <w:t>结构合理、</w:t>
      </w:r>
      <w:r>
        <w:rPr>
          <w:rFonts w:hint="eastAsia" w:ascii="宋体" w:hAnsi="宋体" w:cs="宋体"/>
          <w:b w:val="0"/>
          <w:bCs w:val="0"/>
          <w:color w:val="auto"/>
          <w:sz w:val="24"/>
        </w:rPr>
        <w:t>执行力强、岗位职责清晰</w:t>
      </w:r>
      <w:r>
        <w:rPr>
          <w:rFonts w:hint="eastAsia" w:ascii="宋体" w:hAnsi="宋体" w:cs="宋体"/>
          <w:b w:val="0"/>
          <w:bCs w:val="0"/>
          <w:color w:val="auto"/>
          <w:sz w:val="24"/>
          <w:lang w:eastAsia="zh-CN"/>
        </w:rPr>
        <w:t>。</w:t>
      </w:r>
    </w:p>
    <w:p>
      <w:pPr>
        <w:pStyle w:val="13"/>
        <w:keepNext w:val="0"/>
        <w:keepLines w:val="0"/>
        <w:pageBreakBefore w:val="0"/>
        <w:widowControl w:val="0"/>
        <w:kinsoku/>
        <w:wordWrap/>
        <w:overflowPunct/>
        <w:topLinePunct w:val="0"/>
        <w:autoSpaceDE/>
        <w:autoSpaceDN/>
        <w:bidi w:val="0"/>
        <w:adjustRightInd/>
        <w:snapToGrid/>
        <w:spacing w:line="400" w:lineRule="exact"/>
        <w:ind w:firstLine="522" w:firstLineChars="200"/>
        <w:textAlignment w:val="auto"/>
        <w:rPr>
          <w:rFonts w:hint="eastAsia" w:asciiTheme="minorEastAsia" w:hAnsiTheme="minorEastAsia" w:eastAsiaTheme="minorEastAsia" w:cstheme="minorEastAsia"/>
          <w:b/>
          <w:bCs/>
          <w:color w:val="auto"/>
          <w:sz w:val="26"/>
          <w:szCs w:val="26"/>
        </w:rPr>
      </w:pPr>
      <w:r>
        <w:rPr>
          <w:rFonts w:hint="eastAsia" w:asciiTheme="minorEastAsia" w:hAnsiTheme="minorEastAsia" w:eastAsiaTheme="minorEastAsia" w:cstheme="minorEastAsia"/>
          <w:b/>
          <w:bCs/>
          <w:color w:val="auto"/>
          <w:sz w:val="26"/>
          <w:szCs w:val="26"/>
          <w:lang w:eastAsia="zh-CN"/>
        </w:rPr>
        <w:t>四</w:t>
      </w:r>
      <w:r>
        <w:rPr>
          <w:rFonts w:hint="eastAsia" w:asciiTheme="minorEastAsia" w:hAnsiTheme="minorEastAsia" w:eastAsiaTheme="minorEastAsia" w:cstheme="minorEastAsia"/>
          <w:b/>
          <w:bCs/>
          <w:color w:val="auto"/>
          <w:sz w:val="26"/>
          <w:szCs w:val="26"/>
        </w:rPr>
        <w:t>、验收标准</w:t>
      </w:r>
    </w:p>
    <w:p>
      <w:pPr>
        <w:spacing w:line="360" w:lineRule="auto"/>
        <w:ind w:firstLine="480" w:firstLineChars="200"/>
        <w:rPr>
          <w:rFonts w:hint="eastAsia" w:ascii="宋体" w:hAnsi="宋体"/>
          <w:color w:val="auto"/>
          <w:sz w:val="24"/>
          <w:szCs w:val="24"/>
        </w:rPr>
      </w:pPr>
      <w:r>
        <w:rPr>
          <w:rFonts w:hint="eastAsia" w:ascii="宋体" w:hAnsi="宋体" w:cs="宋体"/>
          <w:color w:val="auto"/>
          <w:sz w:val="24"/>
        </w:rPr>
        <w:t>招标人</w:t>
      </w:r>
      <w:r>
        <w:rPr>
          <w:rFonts w:hint="eastAsia" w:ascii="宋体" w:hAnsi="宋体" w:cs="宋体"/>
          <w:color w:val="auto"/>
          <w:sz w:val="24"/>
          <w:lang w:eastAsia="zh-CN"/>
        </w:rPr>
        <w:t>按照合同约定</w:t>
      </w:r>
      <w:r>
        <w:rPr>
          <w:rFonts w:hint="eastAsia" w:ascii="宋体" w:hAnsi="宋体" w:cs="宋体"/>
          <w:color w:val="auto"/>
          <w:sz w:val="24"/>
        </w:rPr>
        <w:t>要求进行验收</w:t>
      </w:r>
      <w:r>
        <w:rPr>
          <w:rFonts w:hint="eastAsia" w:ascii="宋体" w:hAnsi="宋体" w:cs="宋体"/>
          <w:bCs/>
          <w:color w:val="auto"/>
          <w:sz w:val="24"/>
        </w:rPr>
        <w:t>。</w:t>
      </w:r>
      <w:r>
        <w:rPr>
          <w:rFonts w:hint="eastAsia" w:ascii="宋体" w:hAnsi="宋体" w:cs="宋体"/>
          <w:bCs/>
          <w:color w:val="auto"/>
          <w:sz w:val="24"/>
          <w:lang w:val="en-US" w:eastAsia="zh-CN"/>
        </w:rPr>
        <w:t xml:space="preserve"> </w:t>
      </w:r>
    </w:p>
    <w:p>
      <w:pPr>
        <w:pStyle w:val="42"/>
        <w:ind w:firstLine="470" w:firstLineChars="196"/>
        <w:jc w:val="center"/>
        <w:rPr>
          <w:rFonts w:ascii="宋体" w:hAnsi="宋体"/>
          <w:color w:val="auto"/>
          <w:sz w:val="24"/>
          <w:szCs w:val="24"/>
          <w:highlight w:val="white"/>
        </w:rPr>
      </w:pPr>
      <w:r>
        <w:rPr>
          <w:rFonts w:hint="eastAsia" w:ascii="宋体" w:hAnsi="宋体"/>
          <w:color w:val="auto"/>
          <w:sz w:val="24"/>
          <w:szCs w:val="24"/>
        </w:rPr>
        <w:t>采购需求一览表</w:t>
      </w:r>
    </w:p>
    <w:tbl>
      <w:tblPr>
        <w:tblStyle w:val="23"/>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478"/>
        <w:gridCol w:w="2302"/>
        <w:gridCol w:w="2294"/>
        <w:gridCol w:w="896"/>
        <w:gridCol w:w="699"/>
        <w:gridCol w:w="621"/>
        <w:gridCol w:w="820"/>
        <w:gridCol w:w="143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78"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sz w:val="24"/>
                <w:highlight w:val="white"/>
              </w:rPr>
            </w:pPr>
            <w:r>
              <w:rPr>
                <w:rFonts w:hint="eastAsia" w:ascii="宋体" w:hAnsi="宋体"/>
                <w:color w:val="auto"/>
                <w:sz w:val="24"/>
                <w:highlight w:val="white"/>
              </w:rPr>
              <w:t>序号</w:t>
            </w:r>
          </w:p>
        </w:tc>
        <w:tc>
          <w:tcPr>
            <w:tcW w:w="2302"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sz w:val="24"/>
                <w:highlight w:val="white"/>
              </w:rPr>
            </w:pPr>
            <w:r>
              <w:rPr>
                <w:rFonts w:hint="eastAsia" w:ascii="宋体" w:hAnsi="宋体"/>
                <w:color w:val="auto"/>
                <w:sz w:val="24"/>
                <w:highlight w:val="white"/>
              </w:rPr>
              <w:t>名称</w:t>
            </w:r>
          </w:p>
        </w:tc>
        <w:tc>
          <w:tcPr>
            <w:tcW w:w="2294"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sz w:val="24"/>
                <w:highlight w:val="white"/>
              </w:rPr>
            </w:pPr>
            <w:r>
              <w:rPr>
                <w:rFonts w:hint="eastAsia" w:ascii="宋体" w:hAnsi="宋体"/>
                <w:color w:val="auto"/>
                <w:sz w:val="24"/>
                <w:highlight w:val="white"/>
              </w:rPr>
              <w:t>技术参数和规格型号</w:t>
            </w:r>
          </w:p>
        </w:tc>
        <w:tc>
          <w:tcPr>
            <w:tcW w:w="896"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sz w:val="24"/>
                <w:highlight w:val="white"/>
              </w:rPr>
            </w:pPr>
            <w:r>
              <w:rPr>
                <w:rFonts w:hint="eastAsia" w:ascii="宋体" w:hAnsi="宋体"/>
                <w:color w:val="auto"/>
                <w:sz w:val="24"/>
                <w:highlight w:val="white"/>
              </w:rPr>
              <w:t>数量</w:t>
            </w:r>
          </w:p>
        </w:tc>
        <w:tc>
          <w:tcPr>
            <w:tcW w:w="699"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sz w:val="24"/>
                <w:highlight w:val="white"/>
              </w:rPr>
            </w:pPr>
            <w:r>
              <w:rPr>
                <w:rFonts w:hint="eastAsia" w:ascii="宋体" w:hAnsi="宋体"/>
                <w:color w:val="auto"/>
                <w:sz w:val="24"/>
                <w:highlight w:val="white"/>
              </w:rPr>
              <w:t>单位</w:t>
            </w:r>
          </w:p>
        </w:tc>
        <w:tc>
          <w:tcPr>
            <w:tcW w:w="621"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sz w:val="24"/>
                <w:highlight w:val="white"/>
              </w:rPr>
            </w:pPr>
            <w:r>
              <w:rPr>
                <w:rFonts w:hint="eastAsia" w:ascii="宋体" w:hAnsi="宋体"/>
                <w:color w:val="auto"/>
                <w:sz w:val="24"/>
                <w:highlight w:val="white"/>
              </w:rPr>
              <w:t>单价</w:t>
            </w:r>
          </w:p>
        </w:tc>
        <w:tc>
          <w:tcPr>
            <w:tcW w:w="820"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sz w:val="24"/>
                <w:highlight w:val="white"/>
              </w:rPr>
            </w:pPr>
            <w:r>
              <w:rPr>
                <w:rFonts w:hint="eastAsia" w:ascii="宋体" w:hAnsi="宋体"/>
                <w:color w:val="auto"/>
                <w:sz w:val="24"/>
                <w:highlight w:val="white"/>
              </w:rPr>
              <w:t>合计价</w:t>
            </w:r>
          </w:p>
        </w:tc>
        <w:tc>
          <w:tcPr>
            <w:tcW w:w="1431"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sz w:val="24"/>
                <w:highlight w:val="white"/>
              </w:rPr>
            </w:pPr>
            <w:r>
              <w:rPr>
                <w:rFonts w:hint="eastAsia" w:ascii="宋体" w:hAnsi="宋体"/>
                <w:color w:val="auto"/>
                <w:sz w:val="24"/>
                <w:highlight w:val="white"/>
              </w:rPr>
              <w:t>备注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93" w:hRule="atLeast"/>
        </w:trPr>
        <w:tc>
          <w:tcPr>
            <w:tcW w:w="478" w:type="dxa"/>
            <w:tcBorders>
              <w:top w:val="outset" w:color="auto" w:sz="6" w:space="0"/>
              <w:left w:val="outset" w:color="auto" w:sz="6" w:space="0"/>
              <w:bottom w:val="outset" w:color="auto" w:sz="6" w:space="0"/>
              <w:right w:val="outset" w:color="auto" w:sz="6" w:space="0"/>
            </w:tcBorders>
            <w:noWrap/>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1</w:t>
            </w:r>
          </w:p>
        </w:tc>
        <w:tc>
          <w:tcPr>
            <w:tcW w:w="2302" w:type="dxa"/>
            <w:tcBorders>
              <w:top w:val="outset" w:color="auto" w:sz="6" w:space="0"/>
              <w:left w:val="outset" w:color="auto" w:sz="6" w:space="0"/>
              <w:bottom w:val="outset" w:color="auto" w:sz="6" w:space="0"/>
              <w:right w:val="outset" w:color="auto" w:sz="6" w:space="0"/>
            </w:tcBorders>
            <w:noWrap/>
            <w:vAlign w:val="center"/>
          </w:tcPr>
          <w:p>
            <w:pPr>
              <w:spacing w:line="360" w:lineRule="auto"/>
              <w:rPr>
                <w:rFonts w:hint="eastAsia" w:ascii="宋体" w:hAnsi="宋体" w:cs="宋体"/>
                <w:color w:val="auto"/>
                <w:sz w:val="24"/>
              </w:rPr>
            </w:pPr>
            <w:r>
              <w:rPr>
                <w:rFonts w:hint="eastAsia" w:ascii="宋体" w:hAnsi="宋体" w:cs="宋体"/>
                <w:color w:val="auto"/>
                <w:sz w:val="24"/>
              </w:rPr>
              <w:t>芜湖全域旅游系列宣传品项目</w:t>
            </w:r>
          </w:p>
        </w:tc>
        <w:tc>
          <w:tcPr>
            <w:tcW w:w="2294" w:type="dxa"/>
            <w:tcBorders>
              <w:top w:val="outset" w:color="auto" w:sz="6" w:space="0"/>
              <w:left w:val="outset" w:color="auto" w:sz="6" w:space="0"/>
              <w:bottom w:val="outset" w:color="auto" w:sz="6" w:space="0"/>
              <w:right w:val="outset" w:color="auto" w:sz="6" w:space="0"/>
            </w:tcBorders>
            <w:noWrap/>
            <w:vAlign w:val="center"/>
          </w:tcPr>
          <w:p>
            <w:pPr>
              <w:spacing w:line="360" w:lineRule="auto"/>
              <w:rPr>
                <w:rFonts w:hint="eastAsia" w:ascii="宋体" w:hAnsi="宋体" w:cs="宋体"/>
                <w:color w:val="auto"/>
                <w:sz w:val="24"/>
              </w:rPr>
            </w:pPr>
            <w:r>
              <w:rPr>
                <w:rFonts w:hint="eastAsia" w:ascii="宋体" w:hAnsi="宋体" w:cs="宋体"/>
                <w:color w:val="auto"/>
                <w:sz w:val="24"/>
              </w:rPr>
              <w:t>详见采购清单说明</w:t>
            </w:r>
          </w:p>
        </w:tc>
        <w:tc>
          <w:tcPr>
            <w:tcW w:w="896" w:type="dxa"/>
            <w:tcBorders>
              <w:top w:val="outset" w:color="auto" w:sz="6" w:space="0"/>
              <w:left w:val="outset" w:color="auto" w:sz="6" w:space="0"/>
              <w:bottom w:val="outset" w:color="auto" w:sz="6" w:space="0"/>
              <w:right w:val="outset" w:color="auto" w:sz="6" w:space="0"/>
            </w:tcBorders>
            <w:noWrap/>
            <w:vAlign w:val="center"/>
          </w:tcPr>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w:t>
            </w:r>
          </w:p>
        </w:tc>
        <w:tc>
          <w:tcPr>
            <w:tcW w:w="699" w:type="dxa"/>
            <w:tcBorders>
              <w:top w:val="outset" w:color="auto" w:sz="6" w:space="0"/>
              <w:left w:val="outset" w:color="auto" w:sz="6" w:space="0"/>
              <w:bottom w:val="outset" w:color="auto" w:sz="6" w:space="0"/>
              <w:right w:val="outset" w:color="auto" w:sz="6" w:space="0"/>
            </w:tcBorders>
            <w:noWrap/>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项</w:t>
            </w:r>
          </w:p>
        </w:tc>
        <w:tc>
          <w:tcPr>
            <w:tcW w:w="621" w:type="dxa"/>
            <w:tcBorders>
              <w:top w:val="outset" w:color="auto" w:sz="6" w:space="0"/>
              <w:left w:val="outset" w:color="auto" w:sz="6" w:space="0"/>
              <w:bottom w:val="outset" w:color="auto" w:sz="6" w:space="0"/>
              <w:right w:val="outset" w:color="auto" w:sz="6" w:space="0"/>
            </w:tcBorders>
            <w:noWrap/>
            <w:vAlign w:val="center"/>
          </w:tcPr>
          <w:p>
            <w:pPr>
              <w:spacing w:line="360" w:lineRule="auto"/>
              <w:ind w:firstLine="480" w:firstLineChars="200"/>
              <w:rPr>
                <w:rFonts w:hint="eastAsia" w:ascii="宋体" w:hAnsi="宋体" w:cs="宋体"/>
                <w:color w:val="auto"/>
                <w:sz w:val="24"/>
              </w:rPr>
            </w:pPr>
          </w:p>
        </w:tc>
        <w:tc>
          <w:tcPr>
            <w:tcW w:w="820"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sz w:val="24"/>
                <w:highlight w:val="yellow"/>
              </w:rPr>
            </w:pPr>
          </w:p>
        </w:tc>
        <w:tc>
          <w:tcPr>
            <w:tcW w:w="1431"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sz w:val="24"/>
                <w:highlight w:val="yellow"/>
              </w:rPr>
            </w:pPr>
          </w:p>
        </w:tc>
      </w:tr>
    </w:tbl>
    <w:p>
      <w:pPr>
        <w:pStyle w:val="6"/>
        <w:jc w:val="left"/>
        <w:rPr>
          <w:rFonts w:asciiTheme="minorEastAsia" w:hAnsiTheme="minorEastAsia" w:eastAsiaTheme="minorEastAsia" w:cstheme="minorEastAsia"/>
          <w:b w:val="0"/>
          <w:bCs w:val="0"/>
          <w:color w:val="auto"/>
          <w:sz w:val="23"/>
          <w:szCs w:val="23"/>
        </w:rPr>
      </w:pPr>
      <w:r>
        <w:rPr>
          <w:rFonts w:hint="eastAsia" w:asciiTheme="minorEastAsia" w:hAnsiTheme="minorEastAsia" w:eastAsiaTheme="minorEastAsia" w:cstheme="minorEastAsia"/>
          <w:b w:val="0"/>
          <w:bCs w:val="0"/>
          <w:color w:val="auto"/>
          <w:sz w:val="23"/>
          <w:szCs w:val="23"/>
        </w:rPr>
        <w:t>备注：其他未提及或需要补充的内容将在合同签订时加以补充说明。</w:t>
      </w:r>
    </w:p>
    <w:p>
      <w:pPr>
        <w:rPr>
          <w:rFonts w:ascii="宋体" w:hAnsi="宋体" w:cs="宋体"/>
          <w:color w:val="auto"/>
        </w:rPr>
      </w:pPr>
    </w:p>
    <w:p>
      <w:pPr>
        <w:pStyle w:val="6"/>
        <w:jc w:val="center"/>
        <w:rPr>
          <w:color w:val="auto"/>
        </w:rPr>
      </w:pPr>
      <w:r>
        <w:rPr>
          <w:rFonts w:hint="eastAsia" w:ascii="宋体" w:hAnsi="宋体" w:eastAsia="宋体" w:cs="宋体"/>
          <w:color w:val="auto"/>
        </w:rPr>
        <w:t>第五章  评审程序、方法和标准</w:t>
      </w:r>
    </w:p>
    <w:p>
      <w:pPr>
        <w:spacing w:line="360" w:lineRule="auto"/>
        <w:ind w:firstLine="482" w:firstLineChars="200"/>
        <w:rPr>
          <w:rFonts w:ascii="宋体" w:hAnsi="宋体"/>
          <w:b/>
          <w:bCs/>
          <w:color w:val="auto"/>
          <w:sz w:val="24"/>
          <w:highlight w:val="white"/>
        </w:rPr>
      </w:pPr>
      <w:bookmarkStart w:id="0" w:name="EB066763282e454600abc10582fb4919e1"/>
      <w:r>
        <w:rPr>
          <w:rFonts w:hint="eastAsia" w:ascii="宋体" w:hAnsi="宋体"/>
          <w:b/>
          <w:bCs/>
          <w:color w:val="auto"/>
          <w:sz w:val="24"/>
          <w:highlight w:val="white"/>
        </w:rPr>
        <w:t>一、评审程序</w:t>
      </w:r>
    </w:p>
    <w:p>
      <w:pPr>
        <w:spacing w:line="360" w:lineRule="auto"/>
        <w:ind w:firstLine="482" w:firstLineChars="200"/>
        <w:rPr>
          <w:rFonts w:ascii="宋体" w:hAnsi="宋体"/>
          <w:b/>
          <w:bCs/>
          <w:color w:val="auto"/>
          <w:sz w:val="24"/>
          <w:highlight w:val="white"/>
        </w:rPr>
      </w:pPr>
      <w:r>
        <w:rPr>
          <w:rFonts w:hint="eastAsia" w:ascii="宋体" w:hAnsi="宋体"/>
          <w:b/>
          <w:bCs/>
          <w:color w:val="auto"/>
          <w:sz w:val="24"/>
          <w:highlight w:val="white"/>
        </w:rPr>
        <w:t xml:space="preserve">（一）评审原则 </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1、合法、合规原则。</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2、符合芜湖市公共资源交易中心交易规则原则。</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3、公平、公正、科学、审慎、择优原则。</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4、高分优先原则。衡量响应文件满足竞争性磋商文件规定的各项评审标准的程度，折算为综合得分分值，依据每个磋商供应商的综合得分由高到低，依次确定排名顺序。</w:t>
      </w:r>
    </w:p>
    <w:p>
      <w:pPr>
        <w:spacing w:line="360" w:lineRule="auto"/>
        <w:ind w:firstLine="482" w:firstLineChars="200"/>
        <w:rPr>
          <w:rFonts w:ascii="宋体" w:hAnsi="宋体"/>
          <w:b/>
          <w:bCs/>
          <w:color w:val="auto"/>
          <w:sz w:val="24"/>
          <w:highlight w:val="white"/>
        </w:rPr>
      </w:pPr>
      <w:r>
        <w:rPr>
          <w:rFonts w:hint="eastAsia" w:ascii="宋体" w:hAnsi="宋体"/>
          <w:b/>
          <w:bCs/>
          <w:color w:val="auto"/>
          <w:sz w:val="24"/>
          <w:highlight w:val="white"/>
        </w:rPr>
        <w:t>（二）评审程序</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1、磋商小组确认</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磋商小组对照磋商供应商名单，确认是否存在回避现象，并签署承诺书。</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磋商小组检查磋商文件，是否存在违反有关法律法规的内容和条款。</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2、磋商小组推选组长，讨论、通过磋商工作流程和磋商要点。</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3、资格性审查</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磋商开始后，磋商小组依据磋商文件规定对响应文件中的资格证明材料进行审查，以确定磋商供应商是否具备参与磋商的资格。具体见 “资格性和符合性评审内容及标准”。</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4、符合性审查。</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磋商小组依据磋商文件的规定，对响应文件是否符合磋商文件的规定进行审查，以确定响应文件是否对磋商文件的实质性要求作出响应。具体见 “资格性和符合性评审内容及标准”。</w:t>
      </w:r>
    </w:p>
    <w:p>
      <w:pPr>
        <w:spacing w:line="360" w:lineRule="auto"/>
        <w:ind w:firstLine="482" w:firstLineChars="200"/>
        <w:rPr>
          <w:rFonts w:ascii="宋体" w:hAnsi="宋体"/>
          <w:b/>
          <w:bCs/>
          <w:color w:val="auto"/>
          <w:sz w:val="24"/>
          <w:highlight w:val="white"/>
        </w:rPr>
      </w:pPr>
      <w:r>
        <w:rPr>
          <w:rFonts w:hint="eastAsia" w:ascii="宋体" w:hAnsi="宋体"/>
          <w:b/>
          <w:bCs/>
          <w:color w:val="auto"/>
          <w:sz w:val="24"/>
          <w:highlight w:val="white"/>
        </w:rPr>
        <w:t>无效响应文件</w:t>
      </w:r>
    </w:p>
    <w:p>
      <w:pPr>
        <w:spacing w:line="360" w:lineRule="auto"/>
        <w:ind w:firstLine="482" w:firstLineChars="200"/>
        <w:rPr>
          <w:rFonts w:ascii="宋体" w:hAnsi="宋体"/>
          <w:b/>
          <w:bCs/>
          <w:color w:val="auto"/>
          <w:sz w:val="24"/>
          <w:highlight w:val="white"/>
        </w:rPr>
      </w:pPr>
      <w:r>
        <w:rPr>
          <w:rFonts w:hint="eastAsia" w:ascii="宋体" w:hAnsi="宋体"/>
          <w:b/>
          <w:bCs/>
          <w:color w:val="auto"/>
          <w:sz w:val="24"/>
          <w:highlight w:val="white"/>
        </w:rPr>
        <w:t>在资格性审查和符合性审查中，如出现以下情况之一的响应文件，按无效响应文件处理，该供应商不再进行磋商，磋商小组当场告知供应商。</w:t>
      </w:r>
    </w:p>
    <w:p>
      <w:pPr>
        <w:spacing w:line="360" w:lineRule="auto"/>
        <w:ind w:firstLine="482" w:firstLineChars="200"/>
        <w:rPr>
          <w:rFonts w:ascii="宋体" w:hAnsi="宋体"/>
          <w:b/>
          <w:bCs/>
          <w:color w:val="auto"/>
          <w:sz w:val="24"/>
          <w:highlight w:val="white"/>
        </w:rPr>
      </w:pPr>
      <w:r>
        <w:rPr>
          <w:rFonts w:hint="eastAsia" w:ascii="宋体" w:hAnsi="宋体"/>
          <w:b/>
          <w:bCs/>
          <w:color w:val="auto"/>
          <w:sz w:val="24"/>
          <w:highlight w:val="white"/>
        </w:rPr>
        <w:t>（1）响应文件中资格证明文件不全或未实质性响应磋商文件要求的；</w:t>
      </w:r>
    </w:p>
    <w:p>
      <w:pPr>
        <w:spacing w:line="360" w:lineRule="auto"/>
        <w:ind w:firstLine="482" w:firstLineChars="200"/>
        <w:rPr>
          <w:rFonts w:ascii="宋体" w:hAnsi="宋体"/>
          <w:b/>
          <w:bCs/>
          <w:color w:val="auto"/>
          <w:sz w:val="24"/>
          <w:highlight w:val="white"/>
        </w:rPr>
      </w:pPr>
      <w:r>
        <w:rPr>
          <w:rFonts w:hint="eastAsia" w:ascii="宋体" w:hAnsi="宋体"/>
          <w:b/>
          <w:bCs/>
          <w:color w:val="auto"/>
          <w:sz w:val="24"/>
          <w:highlight w:val="white"/>
        </w:rPr>
        <w:t>（2）响应文件中未按磋商文件要求由法定代表人或有效的授权委托人签字，或而未按要求盖章，或授权期限不符合要求的；</w:t>
      </w:r>
    </w:p>
    <w:p>
      <w:pPr>
        <w:spacing w:line="360" w:lineRule="auto"/>
        <w:ind w:firstLine="482" w:firstLineChars="200"/>
        <w:rPr>
          <w:rFonts w:ascii="宋体" w:hAnsi="宋体"/>
          <w:b/>
          <w:bCs/>
          <w:color w:val="auto"/>
          <w:sz w:val="24"/>
          <w:highlight w:val="white"/>
        </w:rPr>
      </w:pPr>
      <w:r>
        <w:rPr>
          <w:rFonts w:hint="eastAsia" w:ascii="宋体" w:hAnsi="宋体"/>
          <w:b/>
          <w:bCs/>
          <w:color w:val="auto"/>
          <w:sz w:val="24"/>
          <w:highlight w:val="white"/>
        </w:rPr>
        <w:t>（3）响应文件有效期短于磋商文件规定的有效期的；</w:t>
      </w:r>
    </w:p>
    <w:p>
      <w:pPr>
        <w:spacing w:line="360" w:lineRule="auto"/>
        <w:ind w:firstLine="482" w:firstLineChars="200"/>
        <w:rPr>
          <w:rFonts w:ascii="宋体" w:hAnsi="宋体"/>
          <w:b/>
          <w:bCs/>
          <w:color w:val="auto"/>
          <w:sz w:val="24"/>
          <w:highlight w:val="white"/>
        </w:rPr>
      </w:pPr>
      <w:r>
        <w:rPr>
          <w:rFonts w:hint="eastAsia" w:ascii="宋体" w:hAnsi="宋体"/>
          <w:b/>
          <w:bCs/>
          <w:color w:val="auto"/>
          <w:sz w:val="24"/>
          <w:highlight w:val="white"/>
        </w:rPr>
        <w:t>（4）响应文件中提供虚假或失实资料的；</w:t>
      </w:r>
    </w:p>
    <w:p>
      <w:pPr>
        <w:spacing w:line="360" w:lineRule="auto"/>
        <w:ind w:firstLine="482" w:firstLineChars="200"/>
        <w:rPr>
          <w:rFonts w:ascii="宋体" w:hAnsi="宋体" w:cs="宋体"/>
          <w:color w:val="auto"/>
          <w:sz w:val="28"/>
          <w:szCs w:val="28"/>
        </w:rPr>
      </w:pPr>
      <w:r>
        <w:rPr>
          <w:rFonts w:hint="eastAsia" w:ascii="宋体" w:hAnsi="宋体"/>
          <w:b/>
          <w:bCs/>
          <w:color w:val="auto"/>
          <w:sz w:val="24"/>
          <w:highlight w:val="white"/>
        </w:rPr>
        <w:t>（5）不满足磋商文件其他实质性要求的。</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资格性和符合性评审内容及标准</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有下列情形之一的，</w:t>
      </w:r>
      <w:r>
        <w:rPr>
          <w:rFonts w:hint="eastAsia" w:ascii="宋体" w:hAnsi="宋体"/>
          <w:color w:val="auto"/>
          <w:sz w:val="24"/>
          <w:highlight w:val="white"/>
          <w:lang w:eastAsia="zh-CN"/>
        </w:rPr>
        <w:t>磋商小组</w:t>
      </w:r>
      <w:r>
        <w:rPr>
          <w:rFonts w:hint="eastAsia" w:ascii="宋体" w:hAnsi="宋体"/>
          <w:color w:val="auto"/>
          <w:sz w:val="24"/>
          <w:highlight w:val="white"/>
        </w:rPr>
        <w:t xml:space="preserve">应做无效投标处理： </w:t>
      </w:r>
    </w:p>
    <w:tbl>
      <w:tblPr>
        <w:tblStyle w:val="23"/>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2977"/>
        <w:gridCol w:w="4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8" w:type="dxa"/>
            <w:gridSpan w:val="2"/>
          </w:tcPr>
          <w:p>
            <w:pPr>
              <w:spacing w:line="360" w:lineRule="auto"/>
              <w:ind w:firstLine="460" w:firstLineChars="200"/>
              <w:jc w:val="center"/>
              <w:rPr>
                <w:rFonts w:ascii="宋体" w:hAnsi="宋体"/>
                <w:color w:val="auto"/>
                <w:sz w:val="23"/>
                <w:szCs w:val="23"/>
                <w:highlight w:val="white"/>
              </w:rPr>
            </w:pPr>
            <w:r>
              <w:rPr>
                <w:rFonts w:hint="eastAsia" w:ascii="宋体" w:hAnsi="宋体"/>
                <w:color w:val="auto"/>
                <w:sz w:val="23"/>
                <w:szCs w:val="23"/>
                <w:highlight w:val="white"/>
              </w:rPr>
              <w:t>评审内容</w:t>
            </w:r>
          </w:p>
        </w:tc>
        <w:tc>
          <w:tcPr>
            <w:tcW w:w="4330" w:type="dxa"/>
          </w:tcPr>
          <w:p>
            <w:pPr>
              <w:spacing w:line="360" w:lineRule="auto"/>
              <w:ind w:firstLine="460" w:firstLineChars="200"/>
              <w:jc w:val="center"/>
              <w:rPr>
                <w:rFonts w:ascii="宋体" w:hAnsi="宋体"/>
                <w:color w:val="auto"/>
                <w:sz w:val="23"/>
                <w:szCs w:val="23"/>
                <w:highlight w:val="white"/>
              </w:rPr>
            </w:pPr>
            <w:r>
              <w:rPr>
                <w:rFonts w:hint="eastAsia" w:ascii="宋体" w:hAnsi="宋体"/>
                <w:color w:val="auto"/>
                <w:sz w:val="23"/>
                <w:szCs w:val="23"/>
                <w:highlight w:val="whit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71" w:type="dxa"/>
            <w:vMerge w:val="restart"/>
            <w:vAlign w:val="center"/>
          </w:tcPr>
          <w:p>
            <w:pPr>
              <w:spacing w:line="360" w:lineRule="auto"/>
              <w:rPr>
                <w:rFonts w:ascii="宋体" w:hAnsi="宋体"/>
                <w:color w:val="auto"/>
                <w:sz w:val="23"/>
                <w:szCs w:val="23"/>
                <w:highlight w:val="white"/>
              </w:rPr>
            </w:pPr>
            <w:r>
              <w:rPr>
                <w:rFonts w:hint="eastAsia" w:ascii="宋体" w:hAnsi="宋体"/>
                <w:color w:val="auto"/>
                <w:sz w:val="23"/>
                <w:szCs w:val="23"/>
                <w:highlight w:val="white"/>
              </w:rPr>
              <w:t>资格性审查</w:t>
            </w:r>
          </w:p>
        </w:tc>
        <w:tc>
          <w:tcPr>
            <w:tcW w:w="2977"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营业执照</w:t>
            </w:r>
          </w:p>
        </w:tc>
        <w:tc>
          <w:tcPr>
            <w:tcW w:w="4330"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未提供合法有效工商营业执照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tcPr>
          <w:p>
            <w:pPr>
              <w:spacing w:line="360" w:lineRule="auto"/>
              <w:ind w:firstLine="460" w:firstLineChars="200"/>
              <w:rPr>
                <w:rFonts w:ascii="宋体" w:hAnsi="宋体"/>
                <w:color w:val="auto"/>
                <w:sz w:val="23"/>
                <w:szCs w:val="23"/>
                <w:highlight w:val="white"/>
              </w:rPr>
            </w:pPr>
          </w:p>
        </w:tc>
        <w:tc>
          <w:tcPr>
            <w:tcW w:w="2977"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资质及其他资格要求</w:t>
            </w:r>
          </w:p>
        </w:tc>
        <w:tc>
          <w:tcPr>
            <w:tcW w:w="4330"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不符合磋商文件要求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tcPr>
          <w:p>
            <w:pPr>
              <w:spacing w:line="360" w:lineRule="auto"/>
              <w:ind w:firstLine="460" w:firstLineChars="200"/>
              <w:rPr>
                <w:rFonts w:ascii="宋体" w:hAnsi="宋体"/>
                <w:color w:val="auto"/>
                <w:sz w:val="23"/>
                <w:szCs w:val="23"/>
                <w:highlight w:val="white"/>
              </w:rPr>
            </w:pPr>
          </w:p>
        </w:tc>
        <w:tc>
          <w:tcPr>
            <w:tcW w:w="2977" w:type="dxa"/>
            <w:vAlign w:val="center"/>
          </w:tcPr>
          <w:p>
            <w:pPr>
              <w:spacing w:line="360" w:lineRule="auto"/>
              <w:rPr>
                <w:rFonts w:ascii="宋体" w:hAnsi="宋体"/>
                <w:color w:val="auto"/>
                <w:sz w:val="23"/>
                <w:szCs w:val="23"/>
                <w:highlight w:val="white"/>
              </w:rPr>
            </w:pPr>
            <w:r>
              <w:rPr>
                <w:rFonts w:hint="eastAsia" w:ascii="宋体" w:hAnsi="宋体"/>
                <w:color w:val="auto"/>
                <w:sz w:val="23"/>
                <w:szCs w:val="23"/>
                <w:highlight w:val="white"/>
              </w:rPr>
              <w:t>法定代表人或授权代表资格</w:t>
            </w:r>
          </w:p>
        </w:tc>
        <w:tc>
          <w:tcPr>
            <w:tcW w:w="4330"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不符合磋商文件要求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tcPr>
          <w:p>
            <w:pPr>
              <w:spacing w:line="360" w:lineRule="auto"/>
              <w:ind w:firstLine="460" w:firstLineChars="200"/>
              <w:rPr>
                <w:rFonts w:ascii="宋体" w:hAnsi="宋体"/>
                <w:color w:val="auto"/>
                <w:sz w:val="23"/>
                <w:szCs w:val="23"/>
                <w:highlight w:val="white"/>
              </w:rPr>
            </w:pPr>
          </w:p>
        </w:tc>
        <w:tc>
          <w:tcPr>
            <w:tcW w:w="2977"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其他</w:t>
            </w:r>
          </w:p>
        </w:tc>
        <w:tc>
          <w:tcPr>
            <w:tcW w:w="4330"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供应商被行政监督部门作出禁止投标处罚且在有效期内的，或其他违反法律法规和磋商文件规定的情形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71" w:type="dxa"/>
            <w:vMerge w:val="restart"/>
          </w:tcPr>
          <w:p>
            <w:pPr>
              <w:spacing w:line="360" w:lineRule="auto"/>
              <w:rPr>
                <w:rFonts w:ascii="宋体" w:hAnsi="宋体"/>
                <w:color w:val="auto"/>
                <w:sz w:val="23"/>
                <w:szCs w:val="23"/>
                <w:highlight w:val="white"/>
              </w:rPr>
            </w:pPr>
            <w:r>
              <w:rPr>
                <w:rFonts w:hint="eastAsia" w:ascii="宋体" w:hAnsi="宋体"/>
                <w:color w:val="auto"/>
                <w:sz w:val="23"/>
                <w:szCs w:val="23"/>
                <w:highlight w:val="white"/>
              </w:rPr>
              <w:t>符合性审查</w:t>
            </w:r>
          </w:p>
        </w:tc>
        <w:tc>
          <w:tcPr>
            <w:tcW w:w="2977" w:type="dxa"/>
            <w:tcBorders>
              <w:bottom w:val="single" w:color="auto" w:sz="4" w:space="0"/>
            </w:tcBorders>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供应商名称</w:t>
            </w:r>
          </w:p>
        </w:tc>
        <w:tc>
          <w:tcPr>
            <w:tcW w:w="4330" w:type="dxa"/>
            <w:tcBorders>
              <w:bottom w:val="single" w:color="auto" w:sz="4" w:space="0"/>
            </w:tcBorders>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与营业执照、资质证书等不一致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71" w:type="dxa"/>
            <w:vMerge w:val="continue"/>
          </w:tcPr>
          <w:p>
            <w:pPr>
              <w:spacing w:line="360" w:lineRule="auto"/>
              <w:ind w:firstLine="460" w:firstLineChars="200"/>
              <w:rPr>
                <w:rFonts w:ascii="宋体" w:hAnsi="宋体"/>
                <w:color w:val="auto"/>
                <w:sz w:val="23"/>
                <w:szCs w:val="23"/>
                <w:highlight w:val="white"/>
              </w:rPr>
            </w:pPr>
          </w:p>
        </w:tc>
        <w:tc>
          <w:tcPr>
            <w:tcW w:w="2977"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响应文件签署</w:t>
            </w:r>
          </w:p>
        </w:tc>
        <w:tc>
          <w:tcPr>
            <w:tcW w:w="4330"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未按磋商文件要求签字或盖章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71" w:type="dxa"/>
            <w:vMerge w:val="continue"/>
          </w:tcPr>
          <w:p>
            <w:pPr>
              <w:spacing w:line="360" w:lineRule="auto"/>
              <w:ind w:firstLine="460" w:firstLineChars="200"/>
              <w:rPr>
                <w:rFonts w:ascii="宋体" w:hAnsi="宋体"/>
                <w:color w:val="auto"/>
                <w:sz w:val="23"/>
                <w:szCs w:val="23"/>
                <w:highlight w:val="white"/>
              </w:rPr>
            </w:pPr>
          </w:p>
        </w:tc>
        <w:tc>
          <w:tcPr>
            <w:tcW w:w="2977"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响应文件格式</w:t>
            </w:r>
          </w:p>
        </w:tc>
        <w:tc>
          <w:tcPr>
            <w:tcW w:w="4330"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未按规定格式填写，实质性内容不全或关键字迹模糊、无法辨认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1071" w:type="dxa"/>
            <w:vMerge w:val="continue"/>
          </w:tcPr>
          <w:p>
            <w:pPr>
              <w:spacing w:line="360" w:lineRule="auto"/>
              <w:ind w:firstLine="460" w:firstLineChars="200"/>
              <w:rPr>
                <w:rFonts w:ascii="宋体" w:hAnsi="宋体"/>
                <w:color w:val="auto"/>
                <w:sz w:val="23"/>
                <w:szCs w:val="23"/>
                <w:highlight w:val="white"/>
              </w:rPr>
            </w:pPr>
          </w:p>
        </w:tc>
        <w:tc>
          <w:tcPr>
            <w:tcW w:w="2977"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响应方案及报价</w:t>
            </w:r>
          </w:p>
        </w:tc>
        <w:tc>
          <w:tcPr>
            <w:tcW w:w="4330"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递交两份或多份内容不同的响应文件，或在一份响应文件中对同一磋商项目有两个或多个报价，且未声明哪一个有效的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tcPr>
          <w:p>
            <w:pPr>
              <w:spacing w:line="360" w:lineRule="auto"/>
              <w:ind w:firstLine="460" w:firstLineChars="200"/>
              <w:rPr>
                <w:rFonts w:ascii="宋体" w:hAnsi="宋体"/>
                <w:color w:val="auto"/>
                <w:sz w:val="23"/>
                <w:szCs w:val="23"/>
                <w:highlight w:val="white"/>
              </w:rPr>
            </w:pPr>
          </w:p>
        </w:tc>
        <w:tc>
          <w:tcPr>
            <w:tcW w:w="2977"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竞争性磋商有效期</w:t>
            </w:r>
          </w:p>
        </w:tc>
        <w:tc>
          <w:tcPr>
            <w:tcW w:w="4330"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不符合磋商文件要求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071" w:type="dxa"/>
            <w:vMerge w:val="continue"/>
          </w:tcPr>
          <w:p>
            <w:pPr>
              <w:spacing w:line="360" w:lineRule="auto"/>
              <w:ind w:firstLine="460" w:firstLineChars="200"/>
              <w:rPr>
                <w:rFonts w:ascii="宋体" w:hAnsi="宋体"/>
                <w:color w:val="auto"/>
                <w:sz w:val="23"/>
                <w:szCs w:val="23"/>
                <w:highlight w:val="white"/>
              </w:rPr>
            </w:pPr>
          </w:p>
        </w:tc>
        <w:tc>
          <w:tcPr>
            <w:tcW w:w="2977"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s="宋体"/>
                <w:color w:val="auto"/>
                <w:sz w:val="23"/>
                <w:szCs w:val="23"/>
              </w:rPr>
              <w:t>供货（服务）期、履约地点、付款方式</w:t>
            </w:r>
          </w:p>
        </w:tc>
        <w:tc>
          <w:tcPr>
            <w:tcW w:w="4330"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s="宋体"/>
                <w:color w:val="auto"/>
                <w:sz w:val="23"/>
                <w:szCs w:val="23"/>
              </w:rPr>
              <w:t>不符合磋商文件要求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tcPr>
          <w:p>
            <w:pPr>
              <w:spacing w:line="360" w:lineRule="auto"/>
              <w:ind w:firstLine="460" w:firstLineChars="200"/>
              <w:rPr>
                <w:rFonts w:ascii="宋体" w:hAnsi="宋体"/>
                <w:color w:val="auto"/>
                <w:sz w:val="23"/>
                <w:szCs w:val="23"/>
                <w:highlight w:val="white"/>
              </w:rPr>
            </w:pPr>
          </w:p>
        </w:tc>
        <w:tc>
          <w:tcPr>
            <w:tcW w:w="2977"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s="宋体"/>
                <w:color w:val="auto"/>
                <w:sz w:val="23"/>
                <w:szCs w:val="23"/>
              </w:rPr>
              <w:t>磋商保证金</w:t>
            </w:r>
          </w:p>
        </w:tc>
        <w:tc>
          <w:tcPr>
            <w:tcW w:w="4330"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不符合磋商文件要求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Merge w:val="continue"/>
          </w:tcPr>
          <w:p>
            <w:pPr>
              <w:spacing w:line="360" w:lineRule="auto"/>
              <w:ind w:firstLine="460" w:firstLineChars="200"/>
              <w:rPr>
                <w:rFonts w:ascii="宋体" w:hAnsi="宋体"/>
                <w:color w:val="auto"/>
                <w:sz w:val="23"/>
                <w:szCs w:val="23"/>
                <w:highlight w:val="white"/>
              </w:rPr>
            </w:pPr>
          </w:p>
        </w:tc>
        <w:tc>
          <w:tcPr>
            <w:tcW w:w="2977"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其他实质性响应</w:t>
            </w:r>
          </w:p>
        </w:tc>
        <w:tc>
          <w:tcPr>
            <w:tcW w:w="4330" w:type="dxa"/>
            <w:vAlign w:val="center"/>
          </w:tcPr>
          <w:p>
            <w:pPr>
              <w:spacing w:line="360" w:lineRule="auto"/>
              <w:ind w:firstLine="460" w:firstLineChars="200"/>
              <w:rPr>
                <w:rFonts w:ascii="宋体" w:hAnsi="宋体"/>
                <w:color w:val="auto"/>
                <w:sz w:val="23"/>
                <w:szCs w:val="23"/>
                <w:highlight w:val="white"/>
              </w:rPr>
            </w:pPr>
            <w:r>
              <w:rPr>
                <w:rFonts w:hint="eastAsia" w:ascii="宋体" w:hAnsi="宋体"/>
                <w:color w:val="auto"/>
                <w:sz w:val="23"/>
                <w:szCs w:val="23"/>
                <w:highlight w:val="white"/>
              </w:rPr>
              <w:t>不符合磋商文件的要求</w:t>
            </w:r>
          </w:p>
        </w:tc>
      </w:tr>
    </w:tbl>
    <w:p>
      <w:pPr>
        <w:spacing w:line="360" w:lineRule="auto"/>
        <w:ind w:firstLine="480" w:firstLineChars="200"/>
        <w:rPr>
          <w:rFonts w:ascii="宋体" w:hAnsi="宋体"/>
          <w:color w:val="auto"/>
          <w:sz w:val="24"/>
          <w:highlight w:val="white"/>
        </w:rPr>
      </w:pP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5、磋商小组对通过以上审查的响应文件进行评估，确定与各供应商磋商的具体内容。</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6、逐一磋商</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围绕磋商要点，磋商小组全体成员按照各供应商签到顺序集中与单一供应商分别进行磋商，逐家磋商一次为一个轮次，磋商轮次由磋商小组视情况确定。</w:t>
      </w:r>
    </w:p>
    <w:p>
      <w:pPr>
        <w:spacing w:line="360" w:lineRule="auto"/>
        <w:ind w:firstLine="480" w:firstLineChars="200"/>
        <w:rPr>
          <w:rFonts w:ascii="宋体" w:hAnsi="宋体"/>
          <w:color w:val="auto"/>
          <w:sz w:val="24"/>
          <w:highlight w:val="white"/>
        </w:rPr>
      </w:pPr>
      <w:r>
        <w:rPr>
          <w:rFonts w:hint="eastAsia" w:ascii="宋体" w:hAnsi="宋体" w:cs="宋体"/>
          <w:color w:val="auto"/>
          <w:sz w:val="24"/>
        </w:rPr>
        <w:t>在磋商内容不做实质性变更及重大调整的前提下，供应商下轮报价不得高于上一轮报价。</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7、实质性变动</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磋商过程中，磋商小组可以根据磋商文件和磋商情况实质性变动采购需求中的技术、服务要求以及合同草案条款，但不得变动磋商文件中的其他内容。实质性变动的内容，须经采购人代表确认，并以书面形式同时通知所有参加磋商的供应商。该变动是磋商文件的有效组成部分。</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磋商供应商按照磋商文件的变动情况和磋商小组的要求，在规定的时间内以书面形式作出响应，并由其法定代表人或授权代表签字或者加盖公章。</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未按要求作出响应的响应文件，将视为无效投标。</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8、最后报价</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磋商结束后，磋商小组将要求实质性响应磋商文件的磋商供应商在规定时间内提交最后报价。在规定的时间内，没有提交最后报价的磋商供应商，视为退出磋商。未通过实质性响应的磋商供应商将不再进行最后报价。</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已提交响应文件的供应商，在提交最后报价之前，可以根据磋商情况退出磋商。其磋商保证金与未列为成交供应商的磋商保证金一同退还。</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经磋商确定最终采购需求和提交最后报价的供应商后，由磋商小组采用综合评分法对提交最后报价的供应商的响应文件和最后报价进行综合评分。</w:t>
      </w:r>
    </w:p>
    <w:p>
      <w:pPr>
        <w:spacing w:line="360" w:lineRule="auto"/>
        <w:rPr>
          <w:rFonts w:ascii="宋体" w:hAnsi="宋体" w:cs="宋体"/>
          <w:b/>
          <w:color w:val="auto"/>
          <w:sz w:val="28"/>
          <w:szCs w:val="28"/>
        </w:rPr>
      </w:pPr>
      <w:r>
        <w:rPr>
          <w:rFonts w:hint="eastAsia" w:ascii="宋体" w:hAnsi="宋体" w:cs="宋体"/>
          <w:b/>
          <w:color w:val="auto"/>
          <w:sz w:val="28"/>
          <w:szCs w:val="28"/>
        </w:rPr>
        <w:t>二、评审方法和标准</w:t>
      </w:r>
    </w:p>
    <w:p>
      <w:pPr>
        <w:spacing w:line="360" w:lineRule="auto"/>
        <w:ind w:firstLine="281" w:firstLineChars="100"/>
        <w:rPr>
          <w:rFonts w:ascii="宋体" w:hAnsi="宋体" w:cs="宋体"/>
          <w:b/>
          <w:color w:val="auto"/>
          <w:sz w:val="28"/>
          <w:szCs w:val="28"/>
        </w:rPr>
      </w:pPr>
      <w:r>
        <w:rPr>
          <w:rFonts w:hint="eastAsia" w:ascii="宋体" w:hAnsi="宋体" w:cs="宋体"/>
          <w:b/>
          <w:color w:val="auto"/>
          <w:sz w:val="28"/>
          <w:szCs w:val="28"/>
        </w:rPr>
        <w:t>（一）评审方法</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1、本项目采用综合评分法，总分100分。综合评分法是指响应文件满足竞争性磋商文件全部实质性要求且按评审因素的量化指标评审得分最高的供应商为成交候选供应商的方法。</w:t>
      </w:r>
    </w:p>
    <w:p>
      <w:pPr>
        <w:spacing w:line="360" w:lineRule="auto"/>
        <w:ind w:firstLine="480" w:firstLineChars="200"/>
        <w:rPr>
          <w:rFonts w:ascii="宋体" w:hAnsi="宋体"/>
          <w:color w:val="auto"/>
          <w:sz w:val="24"/>
          <w:highlight w:val="white"/>
        </w:rPr>
      </w:pPr>
      <w:r>
        <w:rPr>
          <w:rFonts w:hint="eastAsia" w:ascii="宋体" w:hAnsi="宋体" w:cs="宋体"/>
          <w:color w:val="auto"/>
          <w:sz w:val="24"/>
        </w:rPr>
        <w:t>2、磋商小组按照磋商文件的要求和条件，根据各磋商供应商的技术、商务、价格、对磋商文件的响应程度等进行综合评价、评分，将评审总得分按照从高到低的顺序排列，并依此顺序推荐</w:t>
      </w:r>
      <w:r>
        <w:rPr>
          <w:rFonts w:ascii="宋体" w:hAnsi="宋体" w:cs="宋体"/>
          <w:color w:val="auto"/>
          <w:sz w:val="24"/>
        </w:rPr>
        <w:t>1-3</w:t>
      </w:r>
      <w:r>
        <w:rPr>
          <w:rFonts w:hint="eastAsia" w:ascii="宋体" w:hAnsi="宋体" w:cs="宋体"/>
          <w:color w:val="auto"/>
          <w:sz w:val="24"/>
        </w:rPr>
        <w:t>名成交候选供应商。排名第一的为首选成交候选人，依次类推第二、第三成交候选人。</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3、例外情况</w:t>
      </w:r>
    </w:p>
    <w:p>
      <w:pPr>
        <w:spacing w:line="360" w:lineRule="auto"/>
        <w:ind w:firstLine="480" w:firstLineChars="200"/>
        <w:rPr>
          <w:rFonts w:ascii="宋体" w:hAnsi="宋体"/>
          <w:color w:val="auto"/>
          <w:sz w:val="24"/>
          <w:highlight w:val="white"/>
        </w:rPr>
      </w:pPr>
      <w:r>
        <w:rPr>
          <w:rFonts w:hint="eastAsia" w:ascii="宋体" w:hAnsi="宋体" w:cs="宋体"/>
          <w:color w:val="auto"/>
          <w:sz w:val="24"/>
        </w:rPr>
        <w:t>（1）</w:t>
      </w:r>
      <w:r>
        <w:rPr>
          <w:rFonts w:hint="eastAsia" w:ascii="宋体" w:hAnsi="宋体"/>
          <w:color w:val="auto"/>
          <w:sz w:val="24"/>
          <w:highlight w:val="white"/>
        </w:rPr>
        <w:t>评审总得分相同的，按最后报价由低到高的顺序排序；评审总得分及最后报价均相同的，按技术部分得分由高到低排序；依然相同的，由磋商小组现场抽签确定顺序。</w:t>
      </w:r>
    </w:p>
    <w:p>
      <w:pPr>
        <w:spacing w:line="360" w:lineRule="auto"/>
        <w:ind w:firstLine="480" w:firstLineChars="200"/>
        <w:rPr>
          <w:rFonts w:ascii="宋体" w:hAnsi="宋体"/>
          <w:color w:val="auto"/>
          <w:sz w:val="24"/>
          <w:highlight w:val="white"/>
        </w:rPr>
      </w:pPr>
      <w:r>
        <w:rPr>
          <w:rFonts w:hint="eastAsia" w:ascii="宋体" w:hAnsi="宋体" w:cs="宋体"/>
          <w:color w:val="auto"/>
          <w:sz w:val="24"/>
        </w:rPr>
        <w:t>（2）磋商文件条款存在含义不清或者相互矛盾的，磋商小组应当针对相应条款作出有利于相应供应商的结论。</w:t>
      </w:r>
    </w:p>
    <w:p>
      <w:pPr>
        <w:numPr>
          <w:ilvl w:val="0"/>
          <w:numId w:val="2"/>
        </w:numPr>
        <w:spacing w:line="360" w:lineRule="auto"/>
        <w:ind w:firstLine="562" w:firstLineChars="200"/>
        <w:rPr>
          <w:rFonts w:ascii="宋体" w:hAnsi="宋体" w:cs="宋体"/>
          <w:b/>
          <w:color w:val="auto"/>
          <w:sz w:val="28"/>
          <w:szCs w:val="28"/>
        </w:rPr>
      </w:pPr>
      <w:r>
        <w:rPr>
          <w:rFonts w:hint="eastAsia" w:ascii="宋体" w:hAnsi="宋体" w:cs="宋体"/>
          <w:b/>
          <w:color w:val="auto"/>
          <w:sz w:val="28"/>
          <w:szCs w:val="28"/>
        </w:rPr>
        <w:t>评审标准及方法</w:t>
      </w:r>
    </w:p>
    <w:p>
      <w:pPr>
        <w:spacing w:line="360" w:lineRule="auto"/>
        <w:ind w:firstLine="480" w:firstLineChars="200"/>
        <w:rPr>
          <w:rFonts w:ascii="宋体" w:hAnsi="宋体"/>
          <w:color w:val="auto"/>
          <w:sz w:val="24"/>
        </w:rPr>
      </w:pPr>
      <w:r>
        <w:rPr>
          <w:rFonts w:hint="eastAsia" w:ascii="宋体" w:hAnsi="宋体"/>
          <w:color w:val="auto"/>
          <w:sz w:val="24"/>
          <w:highlight w:val="white"/>
        </w:rPr>
        <w:t>2.1商务标（</w:t>
      </w:r>
      <w:r>
        <w:rPr>
          <w:rFonts w:hint="eastAsia" w:ascii="宋体" w:hAnsi="宋体"/>
          <w:b/>
          <w:color w:val="auto"/>
          <w:sz w:val="24"/>
          <w:highlight w:val="white"/>
          <w:lang w:val="en-US" w:eastAsia="zh-CN"/>
        </w:rPr>
        <w:t>30</w:t>
      </w:r>
      <w:r>
        <w:rPr>
          <w:rFonts w:hint="eastAsia" w:ascii="宋体" w:hAnsi="宋体"/>
          <w:color w:val="auto"/>
          <w:sz w:val="24"/>
          <w:highlight w:val="white"/>
        </w:rPr>
        <w:t>分）</w:t>
      </w:r>
    </w:p>
    <w:p>
      <w:pPr>
        <w:spacing w:line="360" w:lineRule="auto"/>
        <w:ind w:firstLine="480" w:firstLineChars="200"/>
        <w:rPr>
          <w:rFonts w:ascii="宋体" w:hAnsi="宋体"/>
          <w:color w:val="auto"/>
          <w:sz w:val="24"/>
        </w:rPr>
      </w:pPr>
      <w:r>
        <w:rPr>
          <w:rFonts w:hint="eastAsia" w:ascii="宋体" w:hAnsi="宋体"/>
          <w:color w:val="auto"/>
          <w:sz w:val="24"/>
          <w:highlight w:val="white"/>
        </w:rPr>
        <w:t>2.2技术标（</w:t>
      </w:r>
      <w:r>
        <w:rPr>
          <w:rFonts w:hint="eastAsia" w:ascii="宋体" w:hAnsi="宋体"/>
          <w:b/>
          <w:bCs/>
          <w:color w:val="auto"/>
          <w:sz w:val="24"/>
          <w:highlight w:val="white"/>
        </w:rPr>
        <w:t>7</w:t>
      </w:r>
      <w:r>
        <w:rPr>
          <w:rFonts w:hint="eastAsia" w:ascii="宋体" w:hAnsi="宋体"/>
          <w:b/>
          <w:bCs/>
          <w:color w:val="auto"/>
          <w:sz w:val="24"/>
          <w:highlight w:val="white"/>
          <w:lang w:val="en-US" w:eastAsia="zh-CN"/>
        </w:rPr>
        <w:t>0</w:t>
      </w:r>
      <w:r>
        <w:rPr>
          <w:rFonts w:hint="eastAsia" w:ascii="宋体" w:hAnsi="宋体"/>
          <w:color w:val="auto"/>
          <w:sz w:val="24"/>
          <w:highlight w:val="white"/>
        </w:rPr>
        <w:t>分）</w:t>
      </w:r>
    </w:p>
    <w:p>
      <w:pPr>
        <w:spacing w:line="360" w:lineRule="auto"/>
        <w:ind w:firstLine="482" w:firstLineChars="200"/>
        <w:rPr>
          <w:rFonts w:ascii="宋体" w:hAnsi="宋体"/>
          <w:b/>
          <w:color w:val="auto"/>
          <w:sz w:val="24"/>
        </w:rPr>
      </w:pPr>
      <w:r>
        <w:rPr>
          <w:rFonts w:hint="eastAsia" w:ascii="宋体" w:hAnsi="宋体"/>
          <w:b/>
          <w:color w:val="auto"/>
          <w:sz w:val="24"/>
          <w:highlight w:val="white"/>
        </w:rPr>
        <w:t>3、评审内容（数值计算结果均保留两位小数，第三位四舍五入）</w:t>
      </w:r>
    </w:p>
    <w:p>
      <w:pPr>
        <w:spacing w:line="360" w:lineRule="auto"/>
        <w:ind w:firstLine="480" w:firstLineChars="200"/>
        <w:rPr>
          <w:rFonts w:ascii="宋体" w:hAnsi="宋体"/>
          <w:color w:val="auto"/>
          <w:sz w:val="24"/>
        </w:rPr>
      </w:pPr>
      <w:r>
        <w:rPr>
          <w:rFonts w:hint="eastAsia" w:ascii="宋体" w:hAnsi="宋体"/>
          <w:color w:val="auto"/>
          <w:sz w:val="24"/>
          <w:highlight w:val="white"/>
        </w:rPr>
        <w:t>3.1商务标评审内容及标准（</w:t>
      </w:r>
      <w:r>
        <w:rPr>
          <w:rFonts w:hint="eastAsia" w:ascii="宋体" w:hAnsi="宋体"/>
          <w:color w:val="auto"/>
          <w:sz w:val="24"/>
          <w:highlight w:val="white"/>
          <w:lang w:val="en-US" w:eastAsia="zh-CN"/>
        </w:rPr>
        <w:t>30</w:t>
      </w:r>
      <w:r>
        <w:rPr>
          <w:rFonts w:hint="eastAsia" w:ascii="宋体" w:hAnsi="宋体"/>
          <w:color w:val="auto"/>
          <w:sz w:val="24"/>
          <w:highlight w:val="white"/>
        </w:rPr>
        <w:t>分）</w:t>
      </w:r>
    </w:p>
    <w:tbl>
      <w:tblPr>
        <w:tblStyle w:val="23"/>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2240"/>
        <w:gridCol w:w="915"/>
        <w:gridCol w:w="638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240"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kern w:val="0"/>
                <w:sz w:val="24"/>
              </w:rPr>
            </w:pPr>
            <w:r>
              <w:rPr>
                <w:rFonts w:hint="eastAsia" w:ascii="宋体" w:hAnsi="宋体"/>
                <w:color w:val="auto"/>
                <w:kern w:val="0"/>
                <w:sz w:val="24"/>
              </w:rPr>
              <w:t>评审项目</w:t>
            </w:r>
          </w:p>
        </w:tc>
        <w:tc>
          <w:tcPr>
            <w:tcW w:w="915"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kern w:val="0"/>
                <w:sz w:val="24"/>
              </w:rPr>
            </w:pPr>
            <w:r>
              <w:rPr>
                <w:rFonts w:hint="eastAsia" w:ascii="宋体" w:hAnsi="宋体"/>
                <w:color w:val="auto"/>
                <w:kern w:val="0"/>
                <w:sz w:val="24"/>
              </w:rPr>
              <w:t>分值</w:t>
            </w:r>
          </w:p>
        </w:tc>
        <w:tc>
          <w:tcPr>
            <w:tcW w:w="6386"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kern w:val="0"/>
                <w:sz w:val="24"/>
              </w:rPr>
            </w:pPr>
            <w:r>
              <w:rPr>
                <w:rFonts w:hint="eastAsia" w:ascii="宋体" w:hAnsi="宋体"/>
                <w:color w:val="auto"/>
                <w:kern w:val="0"/>
                <w:sz w:val="24"/>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240"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color w:val="auto"/>
                <w:kern w:val="0"/>
                <w:sz w:val="24"/>
              </w:rPr>
            </w:pPr>
            <w:r>
              <w:rPr>
                <w:rFonts w:hint="eastAsia" w:ascii="宋体" w:hAnsi="宋体"/>
                <w:color w:val="auto"/>
                <w:kern w:val="0"/>
                <w:sz w:val="24"/>
              </w:rPr>
              <w:t>最后报价</w:t>
            </w:r>
          </w:p>
        </w:tc>
        <w:tc>
          <w:tcPr>
            <w:tcW w:w="915"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olor w:val="auto"/>
                <w:kern w:val="0"/>
                <w:sz w:val="24"/>
              </w:rPr>
            </w:pPr>
            <w:r>
              <w:rPr>
                <w:rFonts w:hint="eastAsia" w:ascii="宋体" w:hAnsi="宋体"/>
                <w:color w:val="auto"/>
                <w:kern w:val="0"/>
                <w:sz w:val="24"/>
              </w:rPr>
              <w:t>15</w:t>
            </w:r>
          </w:p>
        </w:tc>
        <w:tc>
          <w:tcPr>
            <w:tcW w:w="6386"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color w:val="auto"/>
                <w:kern w:val="0"/>
                <w:sz w:val="24"/>
              </w:rPr>
            </w:pPr>
            <w:r>
              <w:rPr>
                <w:rFonts w:hint="eastAsia" w:ascii="宋体" w:hAnsi="宋体"/>
                <w:color w:val="auto"/>
                <w:kern w:val="0"/>
                <w:sz w:val="24"/>
              </w:rPr>
              <w:t>本项评审步骤：1、</w:t>
            </w:r>
            <w:r>
              <w:rPr>
                <w:rFonts w:hint="eastAsia" w:ascii="宋体" w:hAnsi="宋体"/>
                <w:color w:val="auto"/>
                <w:sz w:val="24"/>
                <w:highlight w:val="white"/>
              </w:rPr>
              <w:t>磋商小组</w:t>
            </w:r>
            <w:r>
              <w:rPr>
                <w:rFonts w:hint="eastAsia" w:ascii="宋体" w:hAnsi="宋体"/>
                <w:color w:val="auto"/>
                <w:kern w:val="0"/>
                <w:sz w:val="24"/>
              </w:rPr>
              <w:t>对所有实质性响应</w:t>
            </w:r>
            <w:r>
              <w:rPr>
                <w:rFonts w:hint="eastAsia" w:ascii="宋体" w:hAnsi="宋体"/>
                <w:color w:val="auto"/>
                <w:kern w:val="0"/>
                <w:sz w:val="24"/>
                <w:lang w:eastAsia="zh-CN"/>
              </w:rPr>
              <w:t>磋商</w:t>
            </w:r>
            <w:r>
              <w:rPr>
                <w:rFonts w:hint="eastAsia" w:ascii="宋体" w:hAnsi="宋体"/>
                <w:color w:val="auto"/>
                <w:kern w:val="0"/>
                <w:sz w:val="24"/>
              </w:rPr>
              <w:t>文件要求的</w:t>
            </w:r>
            <w:r>
              <w:rPr>
                <w:rFonts w:hint="eastAsia" w:ascii="宋体" w:hAnsi="宋体"/>
                <w:color w:val="auto"/>
                <w:kern w:val="0"/>
                <w:sz w:val="24"/>
                <w:lang w:eastAsia="zh-CN"/>
              </w:rPr>
              <w:t>投标</w:t>
            </w:r>
            <w:r>
              <w:rPr>
                <w:rFonts w:hint="eastAsia" w:ascii="宋体" w:hAnsi="宋体"/>
                <w:color w:val="auto"/>
                <w:kern w:val="0"/>
                <w:sz w:val="24"/>
              </w:rPr>
              <w:t>报价进行核查。如</w:t>
            </w:r>
            <w:r>
              <w:rPr>
                <w:rFonts w:hint="eastAsia" w:ascii="宋体" w:hAnsi="宋体"/>
                <w:color w:val="auto"/>
                <w:kern w:val="0"/>
                <w:sz w:val="24"/>
                <w:lang w:eastAsia="zh-CN"/>
              </w:rPr>
              <w:t>磋商供应商</w:t>
            </w:r>
            <w:r>
              <w:rPr>
                <w:rFonts w:hint="eastAsia" w:ascii="宋体" w:hAnsi="宋体"/>
                <w:color w:val="auto"/>
                <w:kern w:val="0"/>
                <w:sz w:val="24"/>
              </w:rPr>
              <w:t>对</w:t>
            </w:r>
            <w:r>
              <w:rPr>
                <w:rFonts w:hint="eastAsia" w:ascii="宋体" w:hAnsi="宋体"/>
                <w:color w:val="auto"/>
                <w:kern w:val="0"/>
                <w:sz w:val="24"/>
                <w:lang w:eastAsia="zh-CN"/>
              </w:rPr>
              <w:t>磋商</w:t>
            </w:r>
            <w:r>
              <w:rPr>
                <w:rFonts w:hint="eastAsia" w:ascii="宋体" w:hAnsi="宋体"/>
                <w:color w:val="auto"/>
                <w:kern w:val="0"/>
                <w:sz w:val="24"/>
              </w:rPr>
              <w:t>文件的内容，特别是对</w:t>
            </w:r>
            <w:r>
              <w:rPr>
                <w:rFonts w:hint="eastAsia" w:ascii="宋体" w:hAnsi="宋体"/>
                <w:color w:val="auto"/>
                <w:kern w:val="0"/>
                <w:sz w:val="24"/>
                <w:lang w:eastAsia="zh-CN"/>
              </w:rPr>
              <w:t>采购</w:t>
            </w:r>
            <w:r>
              <w:rPr>
                <w:rFonts w:hint="eastAsia" w:ascii="宋体" w:hAnsi="宋体"/>
                <w:color w:val="auto"/>
                <w:kern w:val="0"/>
                <w:sz w:val="24"/>
              </w:rPr>
              <w:t>范围或</w:t>
            </w:r>
            <w:r>
              <w:rPr>
                <w:rFonts w:hint="eastAsia" w:ascii="宋体" w:hAnsi="宋体"/>
                <w:color w:val="auto"/>
                <w:kern w:val="0"/>
                <w:sz w:val="24"/>
                <w:lang w:eastAsia="zh-CN"/>
              </w:rPr>
              <w:t>服务需求</w:t>
            </w:r>
            <w:r>
              <w:rPr>
                <w:rFonts w:hint="eastAsia" w:ascii="宋体" w:hAnsi="宋体"/>
                <w:color w:val="auto"/>
                <w:kern w:val="0"/>
                <w:sz w:val="24"/>
              </w:rPr>
              <w:t>的理解发生误差，有子项漏报的（即该</w:t>
            </w:r>
            <w:r>
              <w:rPr>
                <w:rFonts w:hint="eastAsia" w:ascii="宋体" w:hAnsi="宋体"/>
                <w:color w:val="auto"/>
                <w:kern w:val="0"/>
                <w:sz w:val="24"/>
                <w:lang w:eastAsia="zh-CN"/>
              </w:rPr>
              <w:t>投标</w:t>
            </w:r>
            <w:r>
              <w:rPr>
                <w:rFonts w:hint="eastAsia" w:ascii="宋体" w:hAnsi="宋体"/>
                <w:color w:val="auto"/>
                <w:kern w:val="0"/>
                <w:sz w:val="24"/>
              </w:rPr>
              <w:t>报价为漏项报价），经</w:t>
            </w:r>
            <w:r>
              <w:rPr>
                <w:rFonts w:hint="eastAsia" w:ascii="宋体" w:hAnsi="宋体"/>
                <w:color w:val="auto"/>
                <w:sz w:val="24"/>
                <w:highlight w:val="white"/>
              </w:rPr>
              <w:t>磋商小组</w:t>
            </w:r>
            <w:r>
              <w:rPr>
                <w:rFonts w:hint="eastAsia" w:ascii="宋体" w:hAnsi="宋体"/>
                <w:color w:val="auto"/>
                <w:kern w:val="0"/>
                <w:sz w:val="24"/>
              </w:rPr>
              <w:t>评审，按漏项子项和相关标准（有规定标准的按规定标准，无规定标准的按相应的本次</w:t>
            </w:r>
            <w:r>
              <w:rPr>
                <w:rFonts w:hint="eastAsia" w:ascii="宋体" w:hAnsi="宋体"/>
                <w:color w:val="auto"/>
                <w:kern w:val="0"/>
                <w:sz w:val="24"/>
                <w:lang w:eastAsia="zh-CN"/>
              </w:rPr>
              <w:t>磋商</w:t>
            </w:r>
            <w:r>
              <w:rPr>
                <w:rFonts w:hint="eastAsia" w:ascii="宋体" w:hAnsi="宋体"/>
                <w:color w:val="auto"/>
                <w:kern w:val="0"/>
                <w:sz w:val="24"/>
              </w:rPr>
              <w:t>中最高的单价报价）计算出该</w:t>
            </w:r>
            <w:r>
              <w:rPr>
                <w:rFonts w:hint="eastAsia" w:ascii="宋体" w:hAnsi="宋体"/>
                <w:color w:val="auto"/>
                <w:kern w:val="0"/>
                <w:sz w:val="24"/>
                <w:lang w:eastAsia="zh-CN"/>
              </w:rPr>
              <w:t>磋商供应商</w:t>
            </w:r>
            <w:r>
              <w:rPr>
                <w:rFonts w:hint="eastAsia" w:ascii="宋体" w:hAnsi="宋体"/>
                <w:color w:val="auto"/>
                <w:kern w:val="0"/>
                <w:sz w:val="24"/>
              </w:rPr>
              <w:t>的投标调整价； 2、</w:t>
            </w:r>
            <w:r>
              <w:rPr>
                <w:rFonts w:hint="eastAsia" w:ascii="宋体" w:hAnsi="宋体"/>
                <w:color w:val="auto"/>
                <w:sz w:val="24"/>
                <w:highlight w:val="white"/>
              </w:rPr>
              <w:t>磋商小组</w:t>
            </w:r>
            <w:r>
              <w:rPr>
                <w:rFonts w:hint="eastAsia" w:ascii="宋体" w:hAnsi="宋体"/>
                <w:color w:val="auto"/>
                <w:kern w:val="0"/>
                <w:sz w:val="24"/>
              </w:rPr>
              <w:t>价格调整完成并对各</w:t>
            </w:r>
            <w:r>
              <w:rPr>
                <w:rFonts w:hint="eastAsia" w:ascii="宋体" w:hAnsi="宋体"/>
                <w:color w:val="auto"/>
                <w:kern w:val="0"/>
                <w:sz w:val="24"/>
                <w:lang w:eastAsia="zh-CN"/>
              </w:rPr>
              <w:t>磋商供应商</w:t>
            </w:r>
            <w:r>
              <w:rPr>
                <w:rFonts w:hint="eastAsia" w:ascii="宋体" w:hAnsi="宋体"/>
                <w:color w:val="auto"/>
                <w:kern w:val="0"/>
                <w:sz w:val="24"/>
              </w:rPr>
              <w:t>的投标报价有效性核查后，有效投标报价（如有漏项报价，则为投标调整价）中最低的为评</w:t>
            </w:r>
            <w:r>
              <w:rPr>
                <w:rFonts w:hint="eastAsia" w:ascii="宋体" w:hAnsi="宋体"/>
                <w:color w:val="auto"/>
                <w:kern w:val="0"/>
                <w:sz w:val="24"/>
                <w:lang w:eastAsia="zh-CN"/>
              </w:rPr>
              <w:t>审</w:t>
            </w:r>
            <w:r>
              <w:rPr>
                <w:rFonts w:hint="eastAsia" w:ascii="宋体" w:hAnsi="宋体"/>
                <w:color w:val="auto"/>
                <w:kern w:val="0"/>
                <w:sz w:val="24"/>
              </w:rPr>
              <w:t>基准价，得15分。其他</w:t>
            </w:r>
            <w:r>
              <w:rPr>
                <w:rFonts w:hint="eastAsia" w:ascii="宋体" w:hAnsi="宋体"/>
                <w:color w:val="auto"/>
                <w:kern w:val="0"/>
                <w:sz w:val="24"/>
                <w:lang w:eastAsia="zh-CN"/>
              </w:rPr>
              <w:t>磋商供应商</w:t>
            </w:r>
            <w:r>
              <w:rPr>
                <w:rFonts w:hint="eastAsia" w:ascii="宋体" w:hAnsi="宋体"/>
                <w:color w:val="auto"/>
                <w:kern w:val="0"/>
                <w:sz w:val="24"/>
              </w:rPr>
              <w:t>的投标报价得分统一按下列公式计算：投标报价得分=（评</w:t>
            </w:r>
            <w:r>
              <w:rPr>
                <w:rFonts w:hint="eastAsia" w:ascii="宋体" w:hAnsi="宋体"/>
                <w:color w:val="auto"/>
                <w:kern w:val="0"/>
                <w:sz w:val="24"/>
                <w:lang w:eastAsia="zh-CN"/>
              </w:rPr>
              <w:t>审</w:t>
            </w:r>
            <w:r>
              <w:rPr>
                <w:rFonts w:hint="eastAsia" w:ascii="宋体" w:hAnsi="宋体"/>
                <w:color w:val="auto"/>
                <w:kern w:val="0"/>
                <w:sz w:val="24"/>
              </w:rPr>
              <w:t>基准价/最后报价）*15； 3、有漏项报价的</w:t>
            </w:r>
            <w:r>
              <w:rPr>
                <w:rFonts w:hint="eastAsia" w:ascii="宋体" w:hAnsi="宋体"/>
                <w:color w:val="auto"/>
                <w:kern w:val="0"/>
                <w:sz w:val="24"/>
                <w:lang w:eastAsia="zh-CN"/>
              </w:rPr>
              <w:t>磋商供应商</w:t>
            </w:r>
            <w:r>
              <w:rPr>
                <w:rFonts w:hint="eastAsia" w:ascii="宋体" w:hAnsi="宋体"/>
                <w:color w:val="auto"/>
                <w:kern w:val="0"/>
                <w:sz w:val="24"/>
              </w:rPr>
              <w:t>，在按上述公式计算出其投标报价得分基础上，其漏项报价每低于投标调整价1%，再扣1分，得出该</w:t>
            </w:r>
            <w:r>
              <w:rPr>
                <w:rFonts w:hint="eastAsia" w:ascii="宋体" w:hAnsi="宋体"/>
                <w:color w:val="auto"/>
                <w:kern w:val="0"/>
                <w:sz w:val="24"/>
                <w:lang w:eastAsia="zh-CN"/>
              </w:rPr>
              <w:t>磋商供应商</w:t>
            </w:r>
            <w:r>
              <w:rPr>
                <w:rFonts w:hint="eastAsia" w:ascii="宋体" w:hAnsi="宋体"/>
                <w:color w:val="auto"/>
                <w:kern w:val="0"/>
                <w:sz w:val="24"/>
              </w:rPr>
              <w:t>的投标报价最终得分。若其最终中标，则中标价格为其投标报价，</w:t>
            </w:r>
            <w:r>
              <w:rPr>
                <w:rFonts w:hint="eastAsia" w:ascii="宋体" w:hAnsi="宋体"/>
                <w:color w:val="auto"/>
                <w:kern w:val="0"/>
                <w:sz w:val="24"/>
                <w:lang w:eastAsia="zh-CN"/>
              </w:rPr>
              <w:t>磋商供应商</w:t>
            </w:r>
            <w:r>
              <w:rPr>
                <w:rFonts w:hint="eastAsia" w:ascii="宋体" w:hAnsi="宋体"/>
                <w:color w:val="auto"/>
                <w:kern w:val="0"/>
                <w:sz w:val="24"/>
              </w:rPr>
              <w:t>应无异议，否则视该投标为无效投标。注：1、上述最低投标报价如有漏项报价，则为投标调整价。 2、上述报价是指供应商最后报价。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240"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color w:val="auto"/>
                <w:kern w:val="0"/>
                <w:sz w:val="24"/>
              </w:rPr>
            </w:pPr>
            <w:r>
              <w:rPr>
                <w:rFonts w:hint="eastAsia" w:ascii="宋体" w:hAnsi="宋体"/>
                <w:color w:val="auto"/>
                <w:kern w:val="0"/>
                <w:sz w:val="24"/>
                <w:lang w:eastAsia="zh-CN"/>
              </w:rPr>
              <w:t>磋商供应商</w:t>
            </w:r>
            <w:r>
              <w:rPr>
                <w:rFonts w:hint="eastAsia" w:ascii="宋体" w:hAnsi="宋体"/>
                <w:color w:val="auto"/>
                <w:kern w:val="0"/>
                <w:sz w:val="24"/>
              </w:rPr>
              <w:t>业绩</w:t>
            </w:r>
          </w:p>
        </w:tc>
        <w:tc>
          <w:tcPr>
            <w:tcW w:w="915" w:type="dxa"/>
            <w:tcBorders>
              <w:top w:val="outset" w:color="auto" w:sz="6" w:space="0"/>
              <w:left w:val="outset" w:color="auto" w:sz="6" w:space="0"/>
              <w:bottom w:val="outset" w:color="auto" w:sz="6" w:space="0"/>
              <w:right w:val="outset" w:color="auto" w:sz="6" w:space="0"/>
            </w:tcBorders>
            <w:noWrap/>
            <w:vAlign w:val="center"/>
          </w:tcPr>
          <w:p>
            <w:pPr>
              <w:jc w:val="center"/>
              <w:rPr>
                <w:rFonts w:hint="default" w:ascii="宋体" w:hAnsi="宋体" w:eastAsia="宋体"/>
                <w:color w:val="auto"/>
                <w:kern w:val="0"/>
                <w:sz w:val="24"/>
                <w:lang w:val="en-US" w:eastAsia="zh-CN"/>
              </w:rPr>
            </w:pPr>
            <w:r>
              <w:rPr>
                <w:rFonts w:hint="eastAsia" w:ascii="宋体" w:hAnsi="宋体"/>
                <w:color w:val="auto"/>
                <w:kern w:val="0"/>
                <w:sz w:val="24"/>
                <w:lang w:val="en-US" w:eastAsia="zh-CN"/>
              </w:rPr>
              <w:t>10</w:t>
            </w:r>
          </w:p>
        </w:tc>
        <w:tc>
          <w:tcPr>
            <w:tcW w:w="6386"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olor w:val="auto"/>
                <w:kern w:val="0"/>
                <w:sz w:val="24"/>
              </w:rPr>
            </w:pPr>
            <w:r>
              <w:rPr>
                <w:rFonts w:hint="eastAsia" w:ascii="宋体" w:hAnsi="宋体"/>
                <w:color w:val="auto"/>
                <w:kern w:val="0"/>
                <w:sz w:val="24"/>
              </w:rPr>
              <w:t>签订时间</w:t>
            </w:r>
            <w:r>
              <w:rPr>
                <w:rFonts w:hint="eastAsia" w:ascii="宋体" w:hAnsi="宋体"/>
                <w:color w:val="auto"/>
                <w:kern w:val="0"/>
                <w:sz w:val="24"/>
                <w:highlight w:val="none"/>
              </w:rPr>
              <w:t>应自2016年1月1日至</w:t>
            </w:r>
            <w:r>
              <w:rPr>
                <w:rFonts w:hint="eastAsia" w:ascii="宋体" w:hAnsi="宋体"/>
                <w:color w:val="auto"/>
                <w:kern w:val="0"/>
                <w:sz w:val="24"/>
                <w:highlight w:val="none"/>
                <w:lang w:eastAsia="zh-CN"/>
              </w:rPr>
              <w:t>磋商</w:t>
            </w:r>
            <w:r>
              <w:rPr>
                <w:rFonts w:hint="eastAsia" w:ascii="宋体" w:hAnsi="宋体"/>
                <w:color w:val="auto"/>
                <w:kern w:val="0"/>
                <w:sz w:val="24"/>
                <w:highlight w:val="none"/>
              </w:rPr>
              <w:t>截止时间，承担过</w:t>
            </w:r>
            <w:r>
              <w:rPr>
                <w:rFonts w:hint="eastAsia" w:ascii="宋体" w:hAnsi="宋体"/>
                <w:color w:val="auto"/>
                <w:kern w:val="0"/>
                <w:sz w:val="24"/>
                <w:highlight w:val="none"/>
                <w:lang w:eastAsia="zh-CN"/>
              </w:rPr>
              <w:t>地级市及以上</w:t>
            </w:r>
            <w:r>
              <w:rPr>
                <w:rFonts w:hint="eastAsia" w:ascii="宋体" w:hAnsi="宋体"/>
                <w:color w:val="auto"/>
                <w:kern w:val="0"/>
                <w:sz w:val="24"/>
              </w:rPr>
              <w:t>全域旅游宣传</w:t>
            </w:r>
            <w:r>
              <w:rPr>
                <w:rFonts w:hint="eastAsia" w:ascii="宋体" w:hAnsi="宋体"/>
                <w:color w:val="auto"/>
                <w:kern w:val="0"/>
                <w:sz w:val="24"/>
                <w:lang w:eastAsia="zh-CN"/>
              </w:rPr>
              <w:t>品</w:t>
            </w:r>
            <w:r>
              <w:rPr>
                <w:rFonts w:hint="eastAsia" w:ascii="宋体" w:hAnsi="宋体"/>
                <w:color w:val="auto"/>
                <w:kern w:val="0"/>
                <w:sz w:val="24"/>
              </w:rPr>
              <w:t>项目的，有一项加2分，加满</w:t>
            </w:r>
            <w:r>
              <w:rPr>
                <w:rFonts w:hint="eastAsia" w:ascii="宋体" w:hAnsi="宋体"/>
                <w:color w:val="auto"/>
                <w:kern w:val="0"/>
                <w:sz w:val="24"/>
                <w:lang w:val="en-US" w:eastAsia="zh-CN"/>
              </w:rPr>
              <w:t>10</w:t>
            </w:r>
            <w:r>
              <w:rPr>
                <w:rFonts w:hint="eastAsia" w:ascii="宋体" w:hAnsi="宋体"/>
                <w:color w:val="auto"/>
                <w:kern w:val="0"/>
                <w:sz w:val="24"/>
              </w:rPr>
              <w:t>分为止。（</w:t>
            </w:r>
            <w:r>
              <w:rPr>
                <w:rFonts w:hint="eastAsia" w:ascii="宋体" w:hAnsi="宋体"/>
                <w:color w:val="auto"/>
                <w:kern w:val="0"/>
                <w:sz w:val="24"/>
                <w:highlight w:val="none"/>
                <w:lang w:eastAsia="zh-CN"/>
              </w:rPr>
              <w:t>响应</w:t>
            </w:r>
            <w:r>
              <w:rPr>
                <w:rFonts w:hint="eastAsia" w:ascii="宋体" w:hAnsi="宋体"/>
                <w:color w:val="auto"/>
                <w:kern w:val="0"/>
                <w:sz w:val="24"/>
              </w:rPr>
              <w:t>文件中须提供销售合同，签订时间以销售合同为准，复印件应能辨识买卖双方公章、签订时间，复印件须加盖</w:t>
            </w:r>
            <w:r>
              <w:rPr>
                <w:rFonts w:hint="eastAsia" w:ascii="宋体" w:hAnsi="宋体"/>
                <w:color w:val="auto"/>
                <w:kern w:val="0"/>
                <w:sz w:val="24"/>
                <w:lang w:eastAsia="zh-CN"/>
              </w:rPr>
              <w:t>磋商供应商</w:t>
            </w:r>
            <w:r>
              <w:rPr>
                <w:rFonts w:hint="eastAsia" w:ascii="宋体" w:hAnsi="宋体"/>
                <w:color w:val="auto"/>
                <w:kern w:val="0"/>
                <w:sz w:val="24"/>
              </w:rPr>
              <w:t>公章；否则，不得分）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2240" w:type="dxa"/>
            <w:tcBorders>
              <w:top w:val="outset" w:color="auto" w:sz="6" w:space="0"/>
              <w:left w:val="outset" w:color="auto" w:sz="6" w:space="0"/>
              <w:bottom w:val="outset" w:color="auto" w:sz="6" w:space="0"/>
              <w:right w:val="outset" w:color="auto" w:sz="6" w:space="0"/>
            </w:tcBorders>
            <w:noWrap/>
            <w:vAlign w:val="center"/>
          </w:tcPr>
          <w:p>
            <w:pPr>
              <w:jc w:val="left"/>
              <w:rPr>
                <w:rFonts w:hint="eastAsia" w:ascii="宋体" w:hAnsi="宋体" w:eastAsia="宋体"/>
                <w:color w:val="auto"/>
                <w:kern w:val="0"/>
                <w:sz w:val="24"/>
                <w:highlight w:val="none"/>
                <w:lang w:eastAsia="zh-CN"/>
              </w:rPr>
            </w:pPr>
            <w:r>
              <w:rPr>
                <w:rFonts w:hint="eastAsia" w:ascii="宋体" w:hAnsi="宋体"/>
                <w:color w:val="auto"/>
                <w:kern w:val="0"/>
                <w:sz w:val="24"/>
                <w:highlight w:val="none"/>
              </w:rPr>
              <w:t>拟派本项目</w:t>
            </w:r>
            <w:r>
              <w:rPr>
                <w:rFonts w:hint="eastAsia" w:ascii="宋体" w:hAnsi="宋体"/>
                <w:color w:val="auto"/>
                <w:kern w:val="0"/>
                <w:sz w:val="24"/>
                <w:highlight w:val="none"/>
                <w:lang w:eastAsia="zh-CN"/>
              </w:rPr>
              <w:t>人员实力</w:t>
            </w:r>
          </w:p>
        </w:tc>
        <w:tc>
          <w:tcPr>
            <w:tcW w:w="915" w:type="dxa"/>
            <w:tcBorders>
              <w:top w:val="outset" w:color="auto" w:sz="6" w:space="0"/>
              <w:left w:val="outset" w:color="auto" w:sz="6" w:space="0"/>
              <w:bottom w:val="outset" w:color="auto" w:sz="6" w:space="0"/>
              <w:right w:val="outset" w:color="auto" w:sz="6" w:space="0"/>
            </w:tcBorders>
            <w:noWrap/>
            <w:vAlign w:val="center"/>
          </w:tcPr>
          <w:p>
            <w:pPr>
              <w:jc w:val="center"/>
              <w:rPr>
                <w:rFonts w:hint="eastAsia" w:ascii="宋体" w:hAnsi="宋体" w:eastAsia="宋体"/>
                <w:color w:val="auto"/>
                <w:kern w:val="0"/>
                <w:sz w:val="24"/>
                <w:highlight w:val="none"/>
                <w:lang w:eastAsia="zh-CN"/>
              </w:rPr>
            </w:pPr>
            <w:r>
              <w:rPr>
                <w:rFonts w:hint="eastAsia" w:ascii="宋体" w:hAnsi="宋体"/>
                <w:color w:val="auto"/>
                <w:kern w:val="0"/>
                <w:sz w:val="24"/>
                <w:highlight w:val="none"/>
                <w:lang w:val="en-US" w:eastAsia="zh-CN"/>
              </w:rPr>
              <w:t>5</w:t>
            </w:r>
          </w:p>
        </w:tc>
        <w:tc>
          <w:tcPr>
            <w:tcW w:w="6386" w:type="dxa"/>
            <w:tcBorders>
              <w:top w:val="outset" w:color="auto" w:sz="6" w:space="0"/>
              <w:left w:val="outset" w:color="auto" w:sz="6" w:space="0"/>
              <w:bottom w:val="outset" w:color="auto" w:sz="6" w:space="0"/>
              <w:right w:val="outset" w:color="auto" w:sz="6" w:space="0"/>
            </w:tcBorders>
            <w:noWrap/>
            <w:vAlign w:val="center"/>
          </w:tcPr>
          <w:p>
            <w:pPr>
              <w:rPr>
                <w:rFonts w:ascii="宋体" w:hAnsi="宋体"/>
                <w:color w:val="auto"/>
                <w:kern w:val="0"/>
                <w:sz w:val="24"/>
                <w:highlight w:val="none"/>
              </w:rPr>
            </w:pPr>
            <w:r>
              <w:rPr>
                <w:rFonts w:hint="eastAsia" w:ascii="宋体" w:hAnsi="宋体"/>
                <w:color w:val="auto"/>
                <w:kern w:val="0"/>
                <w:sz w:val="24"/>
                <w:highlight w:val="none"/>
              </w:rPr>
              <w:t>拟派本项目</w:t>
            </w:r>
            <w:r>
              <w:rPr>
                <w:rFonts w:hint="eastAsia" w:ascii="宋体" w:hAnsi="宋体"/>
                <w:color w:val="auto"/>
                <w:kern w:val="0"/>
                <w:sz w:val="24"/>
                <w:highlight w:val="none"/>
                <w:lang w:eastAsia="zh-CN"/>
              </w:rPr>
              <w:t>人员中</w:t>
            </w:r>
            <w:r>
              <w:rPr>
                <w:rFonts w:hint="eastAsia" w:ascii="宋体" w:hAnsi="宋体"/>
                <w:color w:val="auto"/>
                <w:kern w:val="0"/>
                <w:sz w:val="24"/>
                <w:highlight w:val="none"/>
              </w:rPr>
              <w:t>具备美术类中级职称，得</w:t>
            </w:r>
            <w:r>
              <w:rPr>
                <w:rFonts w:hint="eastAsia" w:ascii="宋体" w:hAnsi="宋体"/>
                <w:color w:val="auto"/>
                <w:kern w:val="0"/>
                <w:sz w:val="24"/>
                <w:highlight w:val="none"/>
                <w:lang w:val="en-US" w:eastAsia="zh-CN"/>
              </w:rPr>
              <w:t>1</w:t>
            </w:r>
            <w:r>
              <w:rPr>
                <w:rFonts w:hint="eastAsia" w:ascii="宋体" w:hAnsi="宋体"/>
                <w:color w:val="auto"/>
                <w:kern w:val="0"/>
                <w:sz w:val="24"/>
                <w:highlight w:val="none"/>
              </w:rPr>
              <w:t>分；具备美术类高级及以上职称，得4分，本项满分</w:t>
            </w:r>
            <w:r>
              <w:rPr>
                <w:rFonts w:hint="eastAsia" w:ascii="宋体" w:hAnsi="宋体"/>
                <w:color w:val="auto"/>
                <w:kern w:val="0"/>
                <w:sz w:val="24"/>
                <w:highlight w:val="none"/>
                <w:lang w:val="en-US" w:eastAsia="zh-CN"/>
              </w:rPr>
              <w:t>5</w:t>
            </w:r>
            <w:r>
              <w:rPr>
                <w:rFonts w:hint="eastAsia" w:ascii="宋体" w:hAnsi="宋体"/>
                <w:color w:val="auto"/>
                <w:kern w:val="0"/>
                <w:sz w:val="24"/>
                <w:highlight w:val="none"/>
              </w:rPr>
              <w:t>分。（</w:t>
            </w:r>
            <w:r>
              <w:rPr>
                <w:rFonts w:hint="eastAsia" w:ascii="宋体" w:hAnsi="宋体"/>
                <w:color w:val="auto"/>
                <w:kern w:val="0"/>
                <w:sz w:val="24"/>
                <w:highlight w:val="none"/>
                <w:lang w:eastAsia="zh-CN"/>
              </w:rPr>
              <w:t>响应</w:t>
            </w:r>
            <w:r>
              <w:rPr>
                <w:rFonts w:hint="eastAsia" w:ascii="宋体" w:hAnsi="宋体"/>
                <w:color w:val="auto"/>
                <w:kern w:val="0"/>
                <w:sz w:val="24"/>
                <w:highlight w:val="none"/>
              </w:rPr>
              <w:t>文件中提供</w:t>
            </w:r>
            <w:r>
              <w:rPr>
                <w:rFonts w:hint="eastAsia" w:ascii="宋体" w:hAnsi="宋体"/>
                <w:color w:val="auto"/>
                <w:kern w:val="0"/>
                <w:sz w:val="24"/>
                <w:highlight w:val="none"/>
                <w:lang w:eastAsia="zh-CN"/>
              </w:rPr>
              <w:t>拟派人员</w:t>
            </w:r>
            <w:r>
              <w:rPr>
                <w:rFonts w:hint="eastAsia" w:ascii="宋体" w:hAnsi="宋体"/>
                <w:color w:val="auto"/>
                <w:kern w:val="0"/>
                <w:sz w:val="24"/>
                <w:highlight w:val="none"/>
              </w:rPr>
              <w:t>美术类职称复印件或扫描件，同时提供自开标之日起近三个月本单位社保证明，否则不得分。）</w:t>
            </w:r>
          </w:p>
        </w:tc>
      </w:tr>
    </w:tbl>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3.2技术标评审内容及标准（7</w:t>
      </w:r>
      <w:r>
        <w:rPr>
          <w:rFonts w:hint="eastAsia" w:ascii="宋体" w:hAnsi="宋体"/>
          <w:color w:val="auto"/>
          <w:sz w:val="24"/>
          <w:highlight w:val="none"/>
          <w:lang w:val="en-US" w:eastAsia="zh-CN"/>
        </w:rPr>
        <w:t>0</w:t>
      </w:r>
      <w:r>
        <w:rPr>
          <w:rFonts w:hint="eastAsia" w:ascii="宋体" w:hAnsi="宋体"/>
          <w:color w:val="auto"/>
          <w:sz w:val="24"/>
          <w:highlight w:val="none"/>
        </w:rPr>
        <w:t>分）</w:t>
      </w:r>
    </w:p>
    <w:tbl>
      <w:tblPr>
        <w:tblStyle w:val="23"/>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3560"/>
        <w:gridCol w:w="855"/>
        <w:gridCol w:w="51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560"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color w:val="auto"/>
                <w:sz w:val="24"/>
              </w:rPr>
            </w:pPr>
            <w:r>
              <w:rPr>
                <w:rFonts w:hint="eastAsia" w:ascii="宋体" w:hAnsi="宋体" w:cs="宋体"/>
                <w:color w:val="auto"/>
                <w:sz w:val="24"/>
              </w:rPr>
              <w:t>评审项目</w:t>
            </w:r>
          </w:p>
        </w:tc>
        <w:tc>
          <w:tcPr>
            <w:tcW w:w="855"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color w:val="auto"/>
                <w:sz w:val="24"/>
              </w:rPr>
            </w:pPr>
            <w:r>
              <w:rPr>
                <w:rFonts w:hint="eastAsia" w:ascii="宋体" w:hAnsi="宋体" w:cs="宋体"/>
                <w:color w:val="auto"/>
                <w:sz w:val="24"/>
              </w:rPr>
              <w:t>分值</w:t>
            </w:r>
          </w:p>
        </w:tc>
        <w:tc>
          <w:tcPr>
            <w:tcW w:w="5126"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color w:val="auto"/>
                <w:sz w:val="24"/>
              </w:rPr>
            </w:pPr>
            <w:r>
              <w:rPr>
                <w:rFonts w:hint="eastAsia" w:ascii="宋体" w:hAnsi="宋体" w:cs="宋体"/>
                <w:color w:val="auto"/>
                <w:sz w:val="24"/>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560" w:type="dxa"/>
            <w:tcBorders>
              <w:top w:val="outset" w:color="auto" w:sz="6" w:space="0"/>
              <w:left w:val="outset" w:color="auto" w:sz="6" w:space="0"/>
              <w:bottom w:val="outset" w:color="auto" w:sz="6" w:space="0"/>
              <w:right w:val="outset" w:color="auto" w:sz="6" w:space="0"/>
            </w:tcBorders>
            <w:noWrap/>
            <w:vAlign w:val="center"/>
          </w:tcPr>
          <w:p>
            <w:pPr>
              <w:jc w:val="center"/>
              <w:rPr>
                <w:color w:val="auto"/>
              </w:rPr>
            </w:pPr>
            <w:r>
              <w:rPr>
                <w:rFonts w:hint="eastAsia" w:ascii="宋体" w:hAnsi="宋体" w:cs="宋体"/>
                <w:color w:val="auto"/>
                <w:sz w:val="24"/>
              </w:rPr>
              <w:t>服务方案</w:t>
            </w:r>
          </w:p>
        </w:tc>
        <w:tc>
          <w:tcPr>
            <w:tcW w:w="855" w:type="dxa"/>
            <w:tcBorders>
              <w:top w:val="outset" w:color="auto" w:sz="6" w:space="0"/>
              <w:left w:val="outset" w:color="auto" w:sz="6" w:space="0"/>
              <w:bottom w:val="outset" w:color="auto" w:sz="6" w:space="0"/>
              <w:right w:val="outset" w:color="auto" w:sz="6" w:space="0"/>
            </w:tcBorders>
            <w:noWrap/>
            <w:vAlign w:val="center"/>
          </w:tcPr>
          <w:p>
            <w:pPr>
              <w:jc w:val="center"/>
              <w:rPr>
                <w:color w:val="auto"/>
              </w:rPr>
            </w:pPr>
            <w:r>
              <w:rPr>
                <w:rFonts w:hint="eastAsia" w:ascii="宋体" w:hAnsi="宋体" w:cs="宋体"/>
                <w:color w:val="auto"/>
                <w:kern w:val="0"/>
                <w:sz w:val="24"/>
              </w:rPr>
              <w:t>1</w:t>
            </w:r>
            <w:r>
              <w:rPr>
                <w:rFonts w:hint="eastAsia" w:ascii="宋体" w:hAnsi="宋体" w:cs="宋体"/>
                <w:color w:val="auto"/>
                <w:kern w:val="0"/>
                <w:sz w:val="24"/>
                <w:lang w:val="en-US" w:eastAsia="zh-CN"/>
              </w:rPr>
              <w:t>5</w:t>
            </w:r>
            <w:r>
              <w:rPr>
                <w:rFonts w:hint="eastAsia" w:ascii="宋体" w:hAnsi="宋体" w:cs="宋体"/>
                <w:color w:val="auto"/>
                <w:kern w:val="0"/>
                <w:sz w:val="24"/>
              </w:rPr>
              <w:t>分</w:t>
            </w:r>
          </w:p>
        </w:tc>
        <w:tc>
          <w:tcPr>
            <w:tcW w:w="5126"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cs="宋体"/>
                <w:color w:val="auto"/>
                <w:sz w:val="24"/>
              </w:rPr>
            </w:pPr>
            <w:r>
              <w:rPr>
                <w:rFonts w:hint="eastAsia" w:ascii="宋体" w:hAnsi="宋体" w:cs="宋体"/>
                <w:color w:val="auto"/>
                <w:sz w:val="24"/>
              </w:rPr>
              <w:t>服务方案是否考虑周全、重点突出包括但不限于芜湖市文旅政策形势、旅游攻略、图文信息采集、宣传方法形式（纸质+电子）、针对可能发生的应急处理等。</w:t>
            </w:r>
            <w:r>
              <w:rPr>
                <w:rFonts w:hint="eastAsia" w:ascii="宋体" w:hAnsi="宋体"/>
                <w:color w:val="auto"/>
                <w:kern w:val="0"/>
                <w:sz w:val="24"/>
                <w:lang w:eastAsia="zh-CN"/>
              </w:rPr>
              <w:t>磋商小组</w:t>
            </w:r>
            <w:r>
              <w:rPr>
                <w:rFonts w:hint="eastAsia" w:ascii="宋体" w:hAnsi="宋体"/>
                <w:color w:val="auto"/>
                <w:kern w:val="0"/>
                <w:sz w:val="24"/>
              </w:rPr>
              <w:t>根据</w:t>
            </w:r>
            <w:r>
              <w:rPr>
                <w:rFonts w:hint="eastAsia" w:ascii="宋体" w:hAnsi="宋体"/>
                <w:color w:val="auto"/>
                <w:kern w:val="0"/>
                <w:sz w:val="24"/>
                <w:lang w:eastAsia="zh-CN"/>
              </w:rPr>
              <w:t>磋商供应商</w:t>
            </w:r>
            <w:r>
              <w:rPr>
                <w:rFonts w:hint="eastAsia" w:ascii="宋体" w:hAnsi="宋体"/>
                <w:color w:val="auto"/>
                <w:kern w:val="0"/>
                <w:sz w:val="24"/>
              </w:rPr>
              <w:t>提供具体内容对比打分。</w:t>
            </w:r>
          </w:p>
          <w:p>
            <w:pPr>
              <w:jc w:val="left"/>
              <w:rPr>
                <w:color w:val="auto"/>
              </w:rPr>
            </w:pPr>
            <w:r>
              <w:rPr>
                <w:rFonts w:hint="eastAsia" w:ascii="宋体" w:hAnsi="宋体" w:cs="宋体"/>
                <w:color w:val="auto"/>
                <w:kern w:val="0"/>
                <w:sz w:val="24"/>
              </w:rPr>
              <w:t>优，得11-15分；良，得5-10分；差，得0-4分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560"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color w:val="auto"/>
                <w:sz w:val="24"/>
              </w:rPr>
            </w:pPr>
            <w:r>
              <w:rPr>
                <w:rFonts w:hint="eastAsia" w:ascii="宋体" w:hAnsi="宋体" w:cs="宋体"/>
                <w:color w:val="auto"/>
                <w:sz w:val="24"/>
              </w:rPr>
              <w:t>综合册宣传方案</w:t>
            </w:r>
          </w:p>
        </w:tc>
        <w:tc>
          <w:tcPr>
            <w:tcW w:w="855"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3</w:t>
            </w:r>
            <w:r>
              <w:rPr>
                <w:rFonts w:hint="eastAsia" w:ascii="宋体" w:hAnsi="宋体" w:cs="宋体"/>
                <w:color w:val="auto"/>
                <w:kern w:val="0"/>
                <w:sz w:val="24"/>
              </w:rPr>
              <w:t>分</w:t>
            </w:r>
          </w:p>
        </w:tc>
        <w:tc>
          <w:tcPr>
            <w:tcW w:w="5126"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cs="宋体"/>
                <w:color w:val="auto"/>
                <w:kern w:val="0"/>
                <w:sz w:val="24"/>
              </w:rPr>
            </w:pPr>
            <w:r>
              <w:rPr>
                <w:rFonts w:hint="eastAsia" w:ascii="宋体" w:hAnsi="宋体" w:cs="宋体"/>
                <w:color w:val="auto"/>
                <w:kern w:val="0"/>
                <w:sz w:val="24"/>
              </w:rPr>
              <w:t>主要包括根据本项目文旅宣传内容策划及编辑、封面设计、内页设计方案等，</w:t>
            </w:r>
            <w:r>
              <w:rPr>
                <w:rFonts w:hint="eastAsia" w:ascii="宋体" w:hAnsi="宋体"/>
                <w:color w:val="auto"/>
                <w:kern w:val="0"/>
                <w:sz w:val="24"/>
                <w:lang w:eastAsia="zh-CN"/>
              </w:rPr>
              <w:t>磋商小组</w:t>
            </w:r>
            <w:r>
              <w:rPr>
                <w:rFonts w:hint="eastAsia" w:ascii="宋体" w:hAnsi="宋体" w:cs="宋体"/>
                <w:color w:val="auto"/>
                <w:kern w:val="0"/>
                <w:sz w:val="24"/>
              </w:rPr>
              <w:t>根据</w:t>
            </w:r>
            <w:r>
              <w:rPr>
                <w:rFonts w:hint="eastAsia" w:ascii="宋体" w:hAnsi="宋体"/>
                <w:color w:val="auto"/>
                <w:kern w:val="0"/>
                <w:sz w:val="24"/>
                <w:lang w:eastAsia="zh-CN"/>
              </w:rPr>
              <w:t>磋商供应商</w:t>
            </w:r>
            <w:r>
              <w:rPr>
                <w:rFonts w:hint="eastAsia" w:ascii="宋体" w:hAnsi="宋体" w:cs="宋体"/>
                <w:color w:val="auto"/>
                <w:kern w:val="0"/>
                <w:sz w:val="24"/>
              </w:rPr>
              <w:t>提供具体内容对比打分。</w:t>
            </w:r>
          </w:p>
          <w:p>
            <w:pPr>
              <w:jc w:val="left"/>
              <w:rPr>
                <w:color w:val="auto"/>
              </w:rPr>
            </w:pPr>
            <w:r>
              <w:rPr>
                <w:rFonts w:hint="eastAsia" w:ascii="宋体" w:hAnsi="宋体" w:cs="宋体"/>
                <w:color w:val="auto"/>
                <w:kern w:val="0"/>
                <w:sz w:val="24"/>
              </w:rPr>
              <w:t>优，得10-1</w:t>
            </w:r>
            <w:r>
              <w:rPr>
                <w:rFonts w:hint="eastAsia" w:ascii="宋体" w:hAnsi="宋体" w:cs="宋体"/>
                <w:color w:val="auto"/>
                <w:kern w:val="0"/>
                <w:sz w:val="24"/>
                <w:lang w:val="en-US" w:eastAsia="zh-CN"/>
              </w:rPr>
              <w:t>3</w:t>
            </w:r>
            <w:r>
              <w:rPr>
                <w:rFonts w:hint="eastAsia" w:ascii="宋体" w:hAnsi="宋体" w:cs="宋体"/>
                <w:color w:val="auto"/>
                <w:kern w:val="0"/>
                <w:sz w:val="24"/>
              </w:rPr>
              <w:t>分；良，得5-9分；差，得0-4分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560"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color w:val="auto"/>
                <w:sz w:val="24"/>
              </w:rPr>
            </w:pPr>
            <w:r>
              <w:rPr>
                <w:rFonts w:hint="eastAsia" w:ascii="宋体" w:hAnsi="宋体" w:cs="宋体"/>
                <w:color w:val="auto"/>
                <w:sz w:val="24"/>
              </w:rPr>
              <w:t>分册宣传方案</w:t>
            </w:r>
          </w:p>
        </w:tc>
        <w:tc>
          <w:tcPr>
            <w:tcW w:w="855" w:type="dxa"/>
            <w:tcBorders>
              <w:top w:val="outset" w:color="auto" w:sz="6" w:space="0"/>
              <w:left w:val="outset" w:color="auto" w:sz="6" w:space="0"/>
              <w:bottom w:val="outset" w:color="auto" w:sz="6" w:space="0"/>
              <w:right w:val="outset" w:color="auto" w:sz="6" w:space="0"/>
            </w:tcBorders>
            <w:noWrap/>
            <w:vAlign w:val="center"/>
          </w:tcPr>
          <w:p>
            <w:pPr>
              <w:jc w:val="center"/>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3</w:t>
            </w:r>
            <w:r>
              <w:rPr>
                <w:rFonts w:hint="eastAsia" w:ascii="宋体" w:hAnsi="宋体" w:cs="宋体"/>
                <w:color w:val="auto"/>
                <w:kern w:val="0"/>
                <w:sz w:val="24"/>
              </w:rPr>
              <w:t>分</w:t>
            </w:r>
          </w:p>
        </w:tc>
        <w:tc>
          <w:tcPr>
            <w:tcW w:w="5126"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cs="宋体"/>
                <w:color w:val="auto"/>
                <w:kern w:val="0"/>
                <w:sz w:val="24"/>
              </w:rPr>
            </w:pPr>
            <w:r>
              <w:rPr>
                <w:rFonts w:hint="eastAsia" w:ascii="宋体" w:hAnsi="宋体" w:cs="宋体"/>
                <w:color w:val="auto"/>
                <w:kern w:val="0"/>
                <w:sz w:val="24"/>
              </w:rPr>
              <w:t>主要包括根据本项目文旅宣传</w:t>
            </w:r>
            <w:r>
              <w:rPr>
                <w:rFonts w:hint="eastAsia" w:ascii="宋体" w:hAnsi="宋体" w:cs="宋体"/>
                <w:color w:val="auto"/>
                <w:kern w:val="0"/>
                <w:sz w:val="24"/>
                <w:lang w:val="en-US" w:eastAsia="zh-CN"/>
              </w:rPr>
              <w:t>,以</w:t>
            </w:r>
            <w:r>
              <w:rPr>
                <w:rFonts w:hint="eastAsia" w:ascii="宋体" w:hAnsi="宋体" w:cs="宋体"/>
                <w:color w:val="auto"/>
                <w:kern w:val="0"/>
                <w:sz w:val="24"/>
              </w:rPr>
              <w:t>山水、乡村、研学、动漫、夜游、工业旅游、非遗文旅、乡村民宿、康养文旅、自驾游、旅游风景道、高铁游</w:t>
            </w:r>
            <w:r>
              <w:rPr>
                <w:rFonts w:hint="eastAsia" w:ascii="宋体" w:hAnsi="宋体" w:cs="宋体"/>
                <w:color w:val="auto"/>
                <w:kern w:val="0"/>
                <w:sz w:val="24"/>
                <w:lang w:eastAsia="zh-CN"/>
              </w:rPr>
              <w:t>为主题的</w:t>
            </w:r>
            <w:r>
              <w:rPr>
                <w:rFonts w:hint="eastAsia" w:ascii="宋体" w:hAnsi="宋体" w:cs="宋体"/>
                <w:color w:val="auto"/>
                <w:kern w:val="0"/>
                <w:sz w:val="24"/>
                <w:highlight w:val="none"/>
                <w:shd w:val="clear"/>
              </w:rPr>
              <w:t>1</w:t>
            </w:r>
            <w:r>
              <w:rPr>
                <w:rFonts w:hint="eastAsia" w:ascii="宋体" w:hAnsi="宋体" w:cs="宋体"/>
                <w:color w:val="auto"/>
                <w:kern w:val="0"/>
                <w:sz w:val="24"/>
                <w:highlight w:val="none"/>
                <w:shd w:val="clear"/>
                <w:lang w:val="en-US" w:eastAsia="zh-CN"/>
              </w:rPr>
              <w:t>2</w:t>
            </w:r>
            <w:r>
              <w:rPr>
                <w:rFonts w:hint="eastAsia" w:ascii="宋体" w:hAnsi="宋体" w:cs="宋体"/>
                <w:color w:val="auto"/>
                <w:kern w:val="0"/>
                <w:sz w:val="24"/>
                <w:highlight w:val="none"/>
                <w:shd w:val="clear"/>
              </w:rPr>
              <w:t>本</w:t>
            </w:r>
            <w:r>
              <w:rPr>
                <w:rFonts w:hint="eastAsia" w:ascii="宋体" w:hAnsi="宋体" w:cs="宋体"/>
                <w:color w:val="auto"/>
                <w:kern w:val="0"/>
                <w:sz w:val="24"/>
                <w:highlight w:val="none"/>
                <w:shd w:val="clear"/>
                <w:lang w:eastAsia="zh-CN"/>
              </w:rPr>
              <w:t>左右</w:t>
            </w:r>
            <w:r>
              <w:rPr>
                <w:rFonts w:hint="eastAsia" w:ascii="宋体" w:hAnsi="宋体" w:cs="宋体"/>
                <w:color w:val="auto"/>
                <w:kern w:val="0"/>
                <w:sz w:val="24"/>
                <w:highlight w:val="none"/>
                <w:shd w:val="clear"/>
              </w:rPr>
              <w:t>手册</w:t>
            </w:r>
            <w:r>
              <w:rPr>
                <w:rFonts w:hint="eastAsia" w:ascii="宋体" w:hAnsi="宋体" w:cs="宋体"/>
                <w:color w:val="auto"/>
                <w:kern w:val="0"/>
                <w:sz w:val="24"/>
              </w:rPr>
              <w:t>的主题规划、封面设计、其中一册内页设计方案等，</w:t>
            </w:r>
            <w:r>
              <w:rPr>
                <w:rFonts w:hint="eastAsia" w:ascii="宋体" w:hAnsi="宋体"/>
                <w:color w:val="auto"/>
                <w:kern w:val="0"/>
                <w:sz w:val="24"/>
                <w:lang w:eastAsia="zh-CN"/>
              </w:rPr>
              <w:t>磋商小组</w:t>
            </w:r>
            <w:r>
              <w:rPr>
                <w:rFonts w:hint="eastAsia" w:ascii="宋体" w:hAnsi="宋体" w:cs="宋体"/>
                <w:color w:val="auto"/>
                <w:kern w:val="0"/>
                <w:sz w:val="24"/>
              </w:rPr>
              <w:t>根据</w:t>
            </w:r>
            <w:r>
              <w:rPr>
                <w:rFonts w:hint="eastAsia" w:ascii="宋体" w:hAnsi="宋体"/>
                <w:color w:val="auto"/>
                <w:kern w:val="0"/>
                <w:sz w:val="24"/>
                <w:lang w:eastAsia="zh-CN"/>
              </w:rPr>
              <w:t>磋商供应商</w:t>
            </w:r>
            <w:r>
              <w:rPr>
                <w:rFonts w:hint="eastAsia" w:ascii="宋体" w:hAnsi="宋体" w:cs="宋体"/>
                <w:color w:val="auto"/>
                <w:kern w:val="0"/>
                <w:sz w:val="24"/>
              </w:rPr>
              <w:t>提供具体内容对比打分。</w:t>
            </w:r>
          </w:p>
          <w:p>
            <w:pPr>
              <w:jc w:val="left"/>
              <w:rPr>
                <w:rFonts w:ascii="宋体" w:hAnsi="宋体" w:cs="宋体"/>
                <w:color w:val="auto"/>
                <w:kern w:val="0"/>
                <w:sz w:val="24"/>
              </w:rPr>
            </w:pPr>
            <w:r>
              <w:rPr>
                <w:rFonts w:hint="eastAsia" w:ascii="宋体" w:hAnsi="宋体" w:cs="宋体"/>
                <w:color w:val="auto"/>
                <w:kern w:val="0"/>
                <w:sz w:val="24"/>
              </w:rPr>
              <w:t>优，得1</w:t>
            </w:r>
            <w:r>
              <w:rPr>
                <w:rFonts w:hint="eastAsia" w:ascii="宋体" w:hAnsi="宋体" w:cs="宋体"/>
                <w:color w:val="auto"/>
                <w:kern w:val="0"/>
                <w:sz w:val="24"/>
                <w:lang w:val="en-US" w:eastAsia="zh-CN"/>
              </w:rPr>
              <w:t>0</w:t>
            </w:r>
            <w:r>
              <w:rPr>
                <w:rFonts w:hint="eastAsia" w:ascii="宋体" w:hAnsi="宋体" w:cs="宋体"/>
                <w:color w:val="auto"/>
                <w:kern w:val="0"/>
                <w:sz w:val="24"/>
              </w:rPr>
              <w:t>-1</w:t>
            </w:r>
            <w:r>
              <w:rPr>
                <w:rFonts w:hint="eastAsia" w:ascii="宋体" w:hAnsi="宋体" w:cs="宋体"/>
                <w:color w:val="auto"/>
                <w:kern w:val="0"/>
                <w:sz w:val="24"/>
                <w:lang w:val="en-US" w:eastAsia="zh-CN"/>
              </w:rPr>
              <w:t>3</w:t>
            </w:r>
            <w:r>
              <w:rPr>
                <w:rFonts w:hint="eastAsia" w:ascii="宋体" w:hAnsi="宋体" w:cs="宋体"/>
                <w:color w:val="auto"/>
                <w:kern w:val="0"/>
                <w:sz w:val="24"/>
              </w:rPr>
              <w:t>分；良，得5-10分；差，得0-4分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560" w:type="dxa"/>
            <w:tcBorders>
              <w:top w:val="outset" w:color="auto" w:sz="6" w:space="0"/>
              <w:left w:val="outset" w:color="auto" w:sz="6" w:space="0"/>
              <w:bottom w:val="outset" w:color="auto" w:sz="6" w:space="0"/>
              <w:right w:val="outset" w:color="auto" w:sz="6" w:space="0"/>
            </w:tcBorders>
            <w:noWrap/>
            <w:vAlign w:val="center"/>
          </w:tcPr>
          <w:p>
            <w:pPr>
              <w:jc w:val="center"/>
              <w:rPr>
                <w:color w:val="auto"/>
              </w:rPr>
            </w:pPr>
            <w:r>
              <w:rPr>
                <w:rFonts w:hint="eastAsia" w:ascii="宋体" w:hAnsi="宋体" w:cs="宋体"/>
                <w:color w:val="auto"/>
                <w:sz w:val="24"/>
              </w:rPr>
              <w:t>组织实施方案</w:t>
            </w:r>
          </w:p>
        </w:tc>
        <w:tc>
          <w:tcPr>
            <w:tcW w:w="855" w:type="dxa"/>
            <w:tcBorders>
              <w:top w:val="outset" w:color="auto" w:sz="6" w:space="0"/>
              <w:left w:val="outset" w:color="auto" w:sz="6" w:space="0"/>
              <w:bottom w:val="outset" w:color="auto" w:sz="6" w:space="0"/>
              <w:right w:val="outset" w:color="auto" w:sz="6" w:space="0"/>
            </w:tcBorders>
            <w:noWrap/>
            <w:vAlign w:val="center"/>
          </w:tcPr>
          <w:p>
            <w:pPr>
              <w:jc w:val="center"/>
              <w:rPr>
                <w:color w:val="auto"/>
              </w:rPr>
            </w:pPr>
            <w:r>
              <w:rPr>
                <w:rFonts w:hint="eastAsia" w:ascii="宋体" w:hAnsi="宋体" w:cs="宋体"/>
                <w:color w:val="auto"/>
                <w:kern w:val="0"/>
                <w:sz w:val="24"/>
              </w:rPr>
              <w:t>1</w:t>
            </w:r>
            <w:r>
              <w:rPr>
                <w:rFonts w:hint="eastAsia" w:ascii="宋体" w:hAnsi="宋体" w:cs="宋体"/>
                <w:color w:val="auto"/>
                <w:kern w:val="0"/>
                <w:sz w:val="24"/>
                <w:lang w:val="en-US" w:eastAsia="zh-CN"/>
              </w:rPr>
              <w:t>1</w:t>
            </w:r>
            <w:r>
              <w:rPr>
                <w:rFonts w:hint="eastAsia" w:ascii="宋体" w:hAnsi="宋体" w:cs="宋体"/>
                <w:color w:val="auto"/>
                <w:kern w:val="0"/>
                <w:sz w:val="24"/>
              </w:rPr>
              <w:t>分</w:t>
            </w:r>
          </w:p>
        </w:tc>
        <w:tc>
          <w:tcPr>
            <w:tcW w:w="5126" w:type="dxa"/>
            <w:tcBorders>
              <w:top w:val="outset" w:color="auto" w:sz="6" w:space="0"/>
              <w:left w:val="outset" w:color="auto" w:sz="6" w:space="0"/>
              <w:bottom w:val="outset" w:color="auto" w:sz="6" w:space="0"/>
              <w:right w:val="outset" w:color="auto" w:sz="6" w:space="0"/>
            </w:tcBorders>
            <w:noWrap/>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ascii="宋体" w:hAnsi="宋体" w:cs="宋体"/>
                <w:color w:val="auto"/>
                <w:kern w:val="0"/>
                <w:sz w:val="24"/>
              </w:rPr>
            </w:pPr>
            <w:r>
              <w:rPr>
                <w:rFonts w:hint="eastAsia" w:ascii="宋体" w:hAnsi="宋体" w:cs="宋体"/>
                <w:color w:val="auto"/>
                <w:kern w:val="0"/>
                <w:sz w:val="24"/>
              </w:rPr>
              <w:t>服务人员组织方式及时间安排（采编、文案、摄影、设计等人员），服务组织机构设置时间安排，服务工作需要的相关设备、设施、物资准备与安排，服务工作中财务投入与核算管理的准备与安排、其他组织保障措施安排等。重点是评审组织实施方案的科学性、针对性、合理性、可操作性。</w:t>
            </w:r>
            <w:r>
              <w:rPr>
                <w:rFonts w:hint="eastAsia" w:ascii="宋体" w:hAnsi="宋体"/>
                <w:color w:val="auto"/>
                <w:kern w:val="0"/>
                <w:sz w:val="24"/>
                <w:lang w:eastAsia="zh-CN"/>
              </w:rPr>
              <w:t>磋商小组</w:t>
            </w:r>
            <w:r>
              <w:rPr>
                <w:rFonts w:hint="eastAsia" w:ascii="宋体" w:hAnsi="宋体"/>
                <w:color w:val="auto"/>
                <w:kern w:val="0"/>
                <w:sz w:val="24"/>
              </w:rPr>
              <w:t>根据</w:t>
            </w:r>
            <w:r>
              <w:rPr>
                <w:rFonts w:hint="eastAsia" w:ascii="宋体" w:hAnsi="宋体"/>
                <w:color w:val="auto"/>
                <w:kern w:val="0"/>
                <w:sz w:val="24"/>
                <w:lang w:eastAsia="zh-CN"/>
              </w:rPr>
              <w:t>磋商供应商</w:t>
            </w:r>
            <w:r>
              <w:rPr>
                <w:rFonts w:hint="eastAsia" w:ascii="宋体" w:hAnsi="宋体"/>
                <w:color w:val="auto"/>
                <w:kern w:val="0"/>
                <w:sz w:val="24"/>
              </w:rPr>
              <w:t>提供具体内容对比打分。</w:t>
            </w:r>
          </w:p>
          <w:p>
            <w:pPr>
              <w:jc w:val="left"/>
              <w:rPr>
                <w:color w:val="auto"/>
              </w:rPr>
            </w:pPr>
            <w:r>
              <w:rPr>
                <w:rFonts w:hint="eastAsia" w:ascii="宋体" w:hAnsi="宋体" w:cs="宋体"/>
                <w:color w:val="auto"/>
                <w:kern w:val="0"/>
                <w:sz w:val="24"/>
              </w:rPr>
              <w:t>优，得</w:t>
            </w:r>
            <w:r>
              <w:rPr>
                <w:rFonts w:hint="eastAsia" w:ascii="宋体" w:hAnsi="宋体" w:cs="宋体"/>
                <w:color w:val="auto"/>
                <w:kern w:val="0"/>
                <w:sz w:val="24"/>
                <w:lang w:val="en-US" w:eastAsia="zh-CN"/>
              </w:rPr>
              <w:t>8</w:t>
            </w:r>
            <w:r>
              <w:rPr>
                <w:rFonts w:hint="eastAsia" w:ascii="宋体" w:hAnsi="宋体" w:cs="宋体"/>
                <w:color w:val="auto"/>
                <w:kern w:val="0"/>
                <w:sz w:val="24"/>
              </w:rPr>
              <w:t>-1</w:t>
            </w:r>
            <w:r>
              <w:rPr>
                <w:rFonts w:hint="eastAsia" w:ascii="宋体" w:hAnsi="宋体" w:cs="宋体"/>
                <w:color w:val="auto"/>
                <w:kern w:val="0"/>
                <w:sz w:val="24"/>
                <w:lang w:val="en-US" w:eastAsia="zh-CN"/>
              </w:rPr>
              <w:t>1</w:t>
            </w:r>
            <w:r>
              <w:rPr>
                <w:rFonts w:hint="eastAsia" w:ascii="宋体" w:hAnsi="宋体" w:cs="宋体"/>
                <w:color w:val="auto"/>
                <w:kern w:val="0"/>
                <w:sz w:val="24"/>
              </w:rPr>
              <w:t>分；良，得4-</w:t>
            </w:r>
            <w:r>
              <w:rPr>
                <w:rFonts w:hint="eastAsia" w:ascii="宋体" w:hAnsi="宋体" w:cs="宋体"/>
                <w:color w:val="auto"/>
                <w:kern w:val="0"/>
                <w:sz w:val="24"/>
                <w:lang w:val="en-US" w:eastAsia="zh-CN"/>
              </w:rPr>
              <w:t>7</w:t>
            </w:r>
            <w:r>
              <w:rPr>
                <w:rFonts w:hint="eastAsia" w:ascii="宋体" w:hAnsi="宋体" w:cs="宋体"/>
                <w:color w:val="auto"/>
                <w:kern w:val="0"/>
                <w:sz w:val="24"/>
              </w:rPr>
              <w:t>分；差，得0-3分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560" w:type="dxa"/>
            <w:tcBorders>
              <w:top w:val="outset" w:color="auto" w:sz="6" w:space="0"/>
              <w:left w:val="outset" w:color="auto" w:sz="6" w:space="0"/>
              <w:bottom w:val="outset" w:color="auto" w:sz="6" w:space="0"/>
              <w:right w:val="outset" w:color="auto" w:sz="6" w:space="0"/>
            </w:tcBorders>
            <w:noWrap/>
            <w:vAlign w:val="center"/>
          </w:tcPr>
          <w:p>
            <w:pPr>
              <w:spacing w:line="340" w:lineRule="exact"/>
              <w:jc w:val="center"/>
              <w:rPr>
                <w:rFonts w:ascii="宋体" w:hAnsi="宋体"/>
                <w:color w:val="auto"/>
                <w:kern w:val="0"/>
                <w:sz w:val="24"/>
              </w:rPr>
            </w:pPr>
            <w:r>
              <w:rPr>
                <w:rFonts w:hint="eastAsia" w:ascii="宋体" w:hAnsi="宋体" w:cs="宋体"/>
                <w:color w:val="auto"/>
                <w:sz w:val="24"/>
              </w:rPr>
              <w:t>服务理念</w:t>
            </w:r>
          </w:p>
        </w:tc>
        <w:tc>
          <w:tcPr>
            <w:tcW w:w="855" w:type="dxa"/>
            <w:tcBorders>
              <w:top w:val="outset" w:color="auto" w:sz="6" w:space="0"/>
              <w:left w:val="outset" w:color="auto" w:sz="6" w:space="0"/>
              <w:bottom w:val="outset" w:color="auto" w:sz="6" w:space="0"/>
              <w:right w:val="outset" w:color="auto" w:sz="6" w:space="0"/>
            </w:tcBorders>
            <w:noWrap/>
            <w:vAlign w:val="center"/>
          </w:tcPr>
          <w:p>
            <w:pPr>
              <w:spacing w:line="340" w:lineRule="exact"/>
              <w:jc w:val="center"/>
              <w:rPr>
                <w:rFonts w:ascii="宋体" w:hAnsi="宋体" w:cs="宋体"/>
                <w:color w:val="auto"/>
                <w:kern w:val="0"/>
                <w:sz w:val="24"/>
              </w:rPr>
            </w:pPr>
            <w:r>
              <w:rPr>
                <w:rFonts w:hint="eastAsia" w:ascii="宋体" w:hAnsi="宋体" w:cs="宋体"/>
                <w:color w:val="auto"/>
                <w:kern w:val="0"/>
                <w:sz w:val="24"/>
              </w:rPr>
              <w:t>5分</w:t>
            </w:r>
          </w:p>
        </w:tc>
        <w:tc>
          <w:tcPr>
            <w:tcW w:w="5126" w:type="dxa"/>
            <w:tcBorders>
              <w:top w:val="outset" w:color="auto" w:sz="6" w:space="0"/>
              <w:left w:val="outset" w:color="auto" w:sz="6" w:space="0"/>
              <w:bottom w:val="outset" w:color="auto" w:sz="6" w:space="0"/>
              <w:right w:val="outset" w:color="auto" w:sz="6" w:space="0"/>
            </w:tcBorders>
            <w:noWrap/>
            <w:vAlign w:val="center"/>
          </w:tcPr>
          <w:p>
            <w:pPr>
              <w:spacing w:line="340" w:lineRule="exact"/>
              <w:ind w:firstLine="480" w:firstLineChars="200"/>
              <w:rPr>
                <w:rFonts w:ascii="宋体" w:hAnsi="宋体" w:cs="宋体"/>
                <w:color w:val="auto"/>
                <w:sz w:val="24"/>
              </w:rPr>
            </w:pPr>
            <w:r>
              <w:rPr>
                <w:rFonts w:hint="eastAsia" w:ascii="宋体" w:hAnsi="宋体" w:cs="宋体"/>
                <w:color w:val="auto"/>
                <w:sz w:val="24"/>
              </w:rPr>
              <w:t>主要包括根据本项目特点提出服务定位、服务目标、服务管理模式等。</w:t>
            </w:r>
          </w:p>
          <w:p>
            <w:pPr>
              <w:spacing w:line="340" w:lineRule="exact"/>
              <w:ind w:firstLine="480" w:firstLineChars="200"/>
              <w:rPr>
                <w:rFonts w:ascii="宋体" w:hAnsi="宋体" w:cs="宋体"/>
                <w:color w:val="auto"/>
                <w:sz w:val="24"/>
              </w:rPr>
            </w:pPr>
            <w:r>
              <w:rPr>
                <w:rFonts w:hint="eastAsia" w:ascii="宋体" w:hAnsi="宋体" w:cs="宋体"/>
                <w:color w:val="auto"/>
                <w:sz w:val="24"/>
              </w:rPr>
              <w:t>本项</w:t>
            </w:r>
            <w:r>
              <w:rPr>
                <w:rFonts w:hint="eastAsia" w:ascii="宋体" w:hAnsi="宋体" w:cs="宋体"/>
                <w:color w:val="auto"/>
                <w:sz w:val="24"/>
                <w:highlight w:val="none"/>
              </w:rPr>
              <w:t>由</w:t>
            </w:r>
            <w:r>
              <w:rPr>
                <w:rFonts w:hint="eastAsia" w:ascii="宋体" w:hAnsi="宋体" w:cs="宋体"/>
                <w:color w:val="auto"/>
                <w:sz w:val="24"/>
                <w:highlight w:val="none"/>
                <w:lang w:eastAsia="zh-CN"/>
              </w:rPr>
              <w:t>磋商小组</w:t>
            </w:r>
            <w:r>
              <w:rPr>
                <w:rFonts w:hint="eastAsia" w:ascii="宋体" w:hAnsi="宋体" w:cs="宋体"/>
                <w:color w:val="auto"/>
                <w:sz w:val="24"/>
              </w:rPr>
              <w:t>根据本项目特点及</w:t>
            </w:r>
            <w:r>
              <w:rPr>
                <w:rFonts w:hint="eastAsia" w:ascii="宋体" w:hAnsi="宋体"/>
                <w:color w:val="auto"/>
                <w:kern w:val="0"/>
                <w:sz w:val="24"/>
                <w:lang w:eastAsia="zh-CN"/>
              </w:rPr>
              <w:t>磋商供应商</w:t>
            </w:r>
            <w:r>
              <w:rPr>
                <w:rFonts w:hint="eastAsia" w:ascii="宋体" w:hAnsi="宋体" w:cs="宋体"/>
                <w:color w:val="auto"/>
                <w:sz w:val="24"/>
                <w:lang w:eastAsia="zh-CN"/>
              </w:rPr>
              <w:t>响应</w:t>
            </w:r>
            <w:r>
              <w:rPr>
                <w:rFonts w:hint="eastAsia" w:ascii="宋体" w:hAnsi="宋体" w:cs="宋体"/>
                <w:color w:val="auto"/>
                <w:sz w:val="24"/>
              </w:rPr>
              <w:t>文件比较分析评定得分。</w:t>
            </w:r>
          </w:p>
          <w:p>
            <w:pPr>
              <w:spacing w:line="340" w:lineRule="exact"/>
              <w:ind w:firstLine="480" w:firstLineChars="200"/>
              <w:rPr>
                <w:rFonts w:ascii="宋体" w:hAnsi="宋体" w:cs="宋体"/>
                <w:color w:val="auto"/>
                <w:sz w:val="24"/>
              </w:rPr>
            </w:pPr>
            <w:r>
              <w:rPr>
                <w:rFonts w:hint="eastAsia" w:ascii="宋体" w:hAnsi="宋体" w:cs="宋体"/>
                <w:color w:val="auto"/>
                <w:sz w:val="24"/>
              </w:rPr>
              <w:t>对项目实际情况及特点非常了解，服务定位准确，服务目标明确，服务管理模式科学合理的为优，得4-5分；</w:t>
            </w:r>
          </w:p>
          <w:p>
            <w:pPr>
              <w:spacing w:line="340" w:lineRule="exact"/>
              <w:ind w:firstLine="480" w:firstLineChars="200"/>
              <w:rPr>
                <w:rFonts w:ascii="宋体" w:hAnsi="宋体" w:cs="宋体"/>
                <w:color w:val="auto"/>
                <w:sz w:val="24"/>
              </w:rPr>
            </w:pPr>
            <w:r>
              <w:rPr>
                <w:rFonts w:hint="eastAsia" w:ascii="宋体" w:hAnsi="宋体" w:cs="宋体"/>
                <w:color w:val="auto"/>
                <w:sz w:val="24"/>
              </w:rPr>
              <w:t>对项目实际情况及特点了解一般，服务定位基本准确，服务目标基本明确，服务管理模式基本合理，为良，得2-3分；</w:t>
            </w:r>
          </w:p>
          <w:p>
            <w:pPr>
              <w:spacing w:line="340" w:lineRule="exact"/>
              <w:ind w:firstLine="480" w:firstLineChars="200"/>
              <w:rPr>
                <w:rFonts w:ascii="宋体" w:hAnsi="宋体" w:cs="宋体"/>
                <w:color w:val="auto"/>
                <w:sz w:val="24"/>
              </w:rPr>
            </w:pPr>
            <w:r>
              <w:rPr>
                <w:rFonts w:hint="eastAsia" w:ascii="宋体" w:hAnsi="宋体" w:cs="宋体"/>
                <w:color w:val="auto"/>
                <w:sz w:val="24"/>
              </w:rPr>
              <w:t>对项目实际情况及特点了解较少，服务定位不够准确，服务目标不够明确，服务管理模式不够合理，为一般，得1分；</w:t>
            </w:r>
          </w:p>
          <w:p>
            <w:pPr>
              <w:spacing w:line="340" w:lineRule="exact"/>
              <w:ind w:firstLine="480" w:firstLineChars="200"/>
              <w:rPr>
                <w:rFonts w:ascii="宋体" w:hAnsi="宋体"/>
                <w:color w:val="auto"/>
                <w:kern w:val="0"/>
                <w:sz w:val="24"/>
              </w:rPr>
            </w:pPr>
            <w:r>
              <w:rPr>
                <w:rFonts w:hint="eastAsia" w:ascii="宋体" w:hAnsi="宋体" w:cs="宋体"/>
                <w:color w:val="auto"/>
                <w:sz w:val="24"/>
              </w:rPr>
              <w:t>对项目实际情况及特点不了解，服务定位、服务目标、服务管理模式随意罗列或抄袭搬移（包括网上下载、复制等）的，为差，不得分。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560" w:type="dxa"/>
            <w:tcBorders>
              <w:top w:val="outset" w:color="auto" w:sz="6" w:space="0"/>
              <w:left w:val="outset" w:color="auto" w:sz="6" w:space="0"/>
              <w:bottom w:val="outset" w:color="auto" w:sz="6" w:space="0"/>
              <w:right w:val="outset" w:color="auto" w:sz="6" w:space="0"/>
            </w:tcBorders>
            <w:noWrap/>
            <w:vAlign w:val="center"/>
          </w:tcPr>
          <w:p>
            <w:pPr>
              <w:jc w:val="left"/>
              <w:rPr>
                <w:color w:val="auto"/>
              </w:rPr>
            </w:pPr>
            <w:r>
              <w:rPr>
                <w:rFonts w:hint="eastAsia" w:ascii="宋体" w:hAnsi="宋体"/>
                <w:color w:val="auto"/>
                <w:kern w:val="0"/>
                <w:sz w:val="24"/>
              </w:rPr>
              <w:t>服务承诺、及其它伴随增值服务等</w:t>
            </w:r>
          </w:p>
        </w:tc>
        <w:tc>
          <w:tcPr>
            <w:tcW w:w="855" w:type="dxa"/>
            <w:tcBorders>
              <w:top w:val="outset" w:color="auto" w:sz="6" w:space="0"/>
              <w:left w:val="outset" w:color="auto" w:sz="6" w:space="0"/>
              <w:bottom w:val="outset" w:color="auto" w:sz="6" w:space="0"/>
              <w:right w:val="outset" w:color="auto" w:sz="6" w:space="0"/>
            </w:tcBorders>
            <w:noWrap/>
            <w:vAlign w:val="center"/>
          </w:tcPr>
          <w:p>
            <w:pPr>
              <w:jc w:val="center"/>
              <w:rPr>
                <w:color w:val="auto"/>
              </w:rPr>
            </w:pPr>
            <w:r>
              <w:rPr>
                <w:rFonts w:hint="eastAsia" w:ascii="宋体" w:hAnsi="宋体" w:cs="宋体"/>
                <w:color w:val="auto"/>
                <w:kern w:val="0"/>
                <w:sz w:val="24"/>
              </w:rPr>
              <w:t>7分</w:t>
            </w:r>
          </w:p>
        </w:tc>
        <w:tc>
          <w:tcPr>
            <w:tcW w:w="5126" w:type="dxa"/>
            <w:tcBorders>
              <w:top w:val="outset" w:color="auto" w:sz="6" w:space="0"/>
              <w:left w:val="outset" w:color="auto" w:sz="6" w:space="0"/>
              <w:bottom w:val="outset" w:color="auto" w:sz="6" w:space="0"/>
              <w:right w:val="outset" w:color="auto" w:sz="6" w:space="0"/>
            </w:tcBorders>
            <w:noWrap/>
            <w:vAlign w:val="center"/>
          </w:tcPr>
          <w:p>
            <w:pPr>
              <w:jc w:val="left"/>
              <w:rPr>
                <w:color w:val="auto"/>
              </w:rPr>
            </w:pPr>
            <w:r>
              <w:rPr>
                <w:rFonts w:hint="eastAsia" w:ascii="宋体" w:hAnsi="宋体"/>
                <w:color w:val="auto"/>
                <w:kern w:val="0"/>
                <w:sz w:val="24"/>
              </w:rPr>
              <w:t>根据</w:t>
            </w:r>
            <w:r>
              <w:rPr>
                <w:rFonts w:hint="eastAsia" w:ascii="宋体" w:hAnsi="宋体"/>
                <w:color w:val="auto"/>
                <w:kern w:val="0"/>
                <w:sz w:val="24"/>
                <w:lang w:eastAsia="zh-CN"/>
              </w:rPr>
              <w:t>磋商供应商</w:t>
            </w:r>
            <w:r>
              <w:rPr>
                <w:rFonts w:hint="eastAsia" w:ascii="宋体" w:hAnsi="宋体"/>
                <w:color w:val="auto"/>
                <w:kern w:val="0"/>
                <w:sz w:val="24"/>
              </w:rPr>
              <w:t>提供的针对本项目服务内容的承诺及其他伴随、增值服务等优劣情况进行对比打分，优6-7分，良3-5分，</w:t>
            </w:r>
            <w:r>
              <w:rPr>
                <w:rFonts w:hint="eastAsia" w:ascii="宋体" w:hAnsi="宋体" w:cs="宋体"/>
                <w:color w:val="auto"/>
                <w:kern w:val="0"/>
                <w:sz w:val="24"/>
              </w:rPr>
              <w:t>差，得0-2分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560" w:type="dxa"/>
            <w:vMerge w:val="restart"/>
            <w:tcBorders>
              <w:top w:val="outset" w:color="auto" w:sz="6" w:space="0"/>
              <w:left w:val="outset" w:color="auto" w:sz="6" w:space="0"/>
              <w:right w:val="outset" w:color="auto" w:sz="6" w:space="0"/>
            </w:tcBorders>
            <w:noWrap/>
            <w:vAlign w:val="center"/>
          </w:tcPr>
          <w:p>
            <w:pPr>
              <w:jc w:val="center"/>
              <w:rPr>
                <w:color w:val="auto"/>
              </w:rPr>
            </w:pPr>
            <w:r>
              <w:rPr>
                <w:rFonts w:hint="eastAsia" w:ascii="宋体" w:hAnsi="宋体"/>
                <w:color w:val="auto"/>
                <w:kern w:val="0"/>
                <w:sz w:val="24"/>
                <w:lang w:eastAsia="zh-CN"/>
              </w:rPr>
              <w:t>响应</w:t>
            </w:r>
            <w:r>
              <w:rPr>
                <w:rFonts w:hint="eastAsia" w:ascii="宋体" w:hAnsi="宋体"/>
                <w:color w:val="auto"/>
                <w:kern w:val="0"/>
                <w:sz w:val="24"/>
              </w:rPr>
              <w:t>文件编制</w:t>
            </w:r>
          </w:p>
        </w:tc>
        <w:tc>
          <w:tcPr>
            <w:tcW w:w="855" w:type="dxa"/>
            <w:tcBorders>
              <w:top w:val="outset" w:color="auto" w:sz="6" w:space="0"/>
              <w:left w:val="outset" w:color="auto" w:sz="6" w:space="0"/>
              <w:bottom w:val="outset" w:color="auto" w:sz="6" w:space="0"/>
              <w:right w:val="outset" w:color="auto" w:sz="6" w:space="0"/>
            </w:tcBorders>
            <w:noWrap/>
            <w:vAlign w:val="center"/>
          </w:tcPr>
          <w:p>
            <w:pPr>
              <w:jc w:val="center"/>
              <w:rPr>
                <w:color w:val="auto"/>
              </w:rPr>
            </w:pPr>
            <w:r>
              <w:rPr>
                <w:rFonts w:hint="eastAsia" w:ascii="宋体" w:hAnsi="宋体" w:cs="宋体"/>
                <w:color w:val="auto"/>
                <w:kern w:val="0"/>
                <w:sz w:val="24"/>
              </w:rPr>
              <w:t>3分</w:t>
            </w:r>
          </w:p>
        </w:tc>
        <w:tc>
          <w:tcPr>
            <w:tcW w:w="5126"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color w:val="auto"/>
                <w:kern w:val="0"/>
                <w:sz w:val="24"/>
              </w:rPr>
            </w:pPr>
            <w:r>
              <w:rPr>
                <w:rFonts w:hint="eastAsia" w:ascii="宋体" w:hAnsi="宋体"/>
                <w:color w:val="auto"/>
                <w:kern w:val="0"/>
                <w:sz w:val="24"/>
              </w:rPr>
              <w:t>主要包括</w:t>
            </w:r>
            <w:r>
              <w:rPr>
                <w:rFonts w:hint="eastAsia" w:ascii="宋体" w:hAnsi="宋体"/>
                <w:color w:val="auto"/>
                <w:kern w:val="0"/>
                <w:sz w:val="24"/>
                <w:lang w:eastAsia="zh-CN"/>
              </w:rPr>
              <w:t>响应</w:t>
            </w:r>
            <w:r>
              <w:rPr>
                <w:rFonts w:hint="eastAsia" w:ascii="宋体" w:hAnsi="宋体"/>
                <w:color w:val="auto"/>
                <w:kern w:val="0"/>
                <w:sz w:val="24"/>
              </w:rPr>
              <w:t>文件编制完整性、格式规范性、内容齐全性和前后一致性、表述准确准确性、条理清晰性。</w:t>
            </w:r>
          </w:p>
          <w:p>
            <w:pPr>
              <w:jc w:val="left"/>
              <w:rPr>
                <w:rFonts w:ascii="宋体" w:hAnsi="宋体"/>
                <w:color w:val="auto"/>
                <w:kern w:val="0"/>
                <w:sz w:val="24"/>
              </w:rPr>
            </w:pPr>
            <w:r>
              <w:rPr>
                <w:rFonts w:hint="eastAsia" w:ascii="宋体" w:hAnsi="宋体"/>
                <w:color w:val="auto"/>
                <w:kern w:val="0"/>
                <w:sz w:val="24"/>
              </w:rPr>
              <w:t>本项由</w:t>
            </w:r>
            <w:r>
              <w:rPr>
                <w:rFonts w:hint="eastAsia" w:ascii="宋体" w:hAnsi="宋体"/>
                <w:color w:val="auto"/>
                <w:sz w:val="24"/>
                <w:highlight w:val="white"/>
              </w:rPr>
              <w:t>磋商小组</w:t>
            </w:r>
            <w:r>
              <w:rPr>
                <w:rFonts w:hint="eastAsia" w:ascii="宋体" w:hAnsi="宋体"/>
                <w:color w:val="auto"/>
                <w:kern w:val="0"/>
                <w:sz w:val="24"/>
              </w:rPr>
              <w:t>根据本项目特点及</w:t>
            </w:r>
            <w:r>
              <w:rPr>
                <w:rFonts w:hint="eastAsia" w:ascii="宋体" w:hAnsi="宋体"/>
                <w:color w:val="auto"/>
                <w:kern w:val="0"/>
                <w:sz w:val="24"/>
                <w:lang w:eastAsia="zh-CN"/>
              </w:rPr>
              <w:t>磋商供应商响应</w:t>
            </w:r>
            <w:r>
              <w:rPr>
                <w:rFonts w:hint="eastAsia" w:ascii="宋体" w:hAnsi="宋体"/>
                <w:color w:val="auto"/>
                <w:kern w:val="0"/>
                <w:sz w:val="24"/>
              </w:rPr>
              <w:t>文件比较分析评定得分。</w:t>
            </w:r>
          </w:p>
          <w:p>
            <w:pPr>
              <w:jc w:val="left"/>
              <w:rPr>
                <w:color w:val="auto"/>
              </w:rPr>
            </w:pPr>
            <w:r>
              <w:rPr>
                <w:rFonts w:hint="eastAsia" w:ascii="宋体" w:hAnsi="宋体"/>
                <w:color w:val="auto"/>
                <w:kern w:val="0"/>
                <w:sz w:val="24"/>
              </w:rPr>
              <w:t>优，得3分；良，得2分；一般，得1分；差，不得分。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560" w:type="dxa"/>
            <w:vMerge w:val="continue"/>
            <w:tcBorders>
              <w:left w:val="outset" w:color="auto" w:sz="6" w:space="0"/>
              <w:bottom w:val="outset" w:color="auto" w:sz="6" w:space="0"/>
              <w:right w:val="outset" w:color="auto" w:sz="6" w:space="0"/>
            </w:tcBorders>
            <w:noWrap/>
            <w:vAlign w:val="center"/>
          </w:tcPr>
          <w:p>
            <w:pPr>
              <w:jc w:val="center"/>
              <w:rPr>
                <w:color w:val="auto"/>
              </w:rPr>
            </w:pPr>
          </w:p>
        </w:tc>
        <w:tc>
          <w:tcPr>
            <w:tcW w:w="855" w:type="dxa"/>
            <w:tcBorders>
              <w:top w:val="outset" w:color="auto" w:sz="6" w:space="0"/>
              <w:left w:val="outset" w:color="auto" w:sz="6" w:space="0"/>
              <w:bottom w:val="outset" w:color="auto" w:sz="6" w:space="0"/>
              <w:right w:val="outset" w:color="auto" w:sz="6" w:space="0"/>
            </w:tcBorders>
            <w:noWrap/>
            <w:vAlign w:val="center"/>
          </w:tcPr>
          <w:p>
            <w:pPr>
              <w:jc w:val="center"/>
              <w:rPr>
                <w:color w:val="auto"/>
              </w:rPr>
            </w:pPr>
            <w:r>
              <w:rPr>
                <w:rFonts w:hint="eastAsia" w:ascii="宋体" w:hAnsi="宋体" w:cs="宋体"/>
                <w:color w:val="auto"/>
                <w:kern w:val="0"/>
                <w:sz w:val="24"/>
              </w:rPr>
              <w:t>3分</w:t>
            </w:r>
          </w:p>
        </w:tc>
        <w:tc>
          <w:tcPr>
            <w:tcW w:w="5126" w:type="dxa"/>
            <w:tcBorders>
              <w:top w:val="outset" w:color="auto" w:sz="6" w:space="0"/>
              <w:left w:val="outset" w:color="auto" w:sz="6" w:space="0"/>
              <w:bottom w:val="outset" w:color="auto" w:sz="6" w:space="0"/>
              <w:right w:val="outset" w:color="auto" w:sz="6" w:space="0"/>
            </w:tcBorders>
            <w:noWrap/>
            <w:vAlign w:val="center"/>
          </w:tcPr>
          <w:p>
            <w:pPr>
              <w:jc w:val="left"/>
              <w:rPr>
                <w:rFonts w:ascii="宋体" w:hAnsi="宋体"/>
                <w:color w:val="auto"/>
                <w:kern w:val="0"/>
                <w:sz w:val="24"/>
              </w:rPr>
            </w:pPr>
            <w:r>
              <w:rPr>
                <w:rFonts w:hint="eastAsia" w:ascii="宋体" w:hAnsi="宋体"/>
                <w:color w:val="auto"/>
                <w:kern w:val="0"/>
                <w:sz w:val="24"/>
              </w:rPr>
              <w:t>主要包括</w:t>
            </w:r>
            <w:r>
              <w:rPr>
                <w:rFonts w:hint="eastAsia" w:ascii="宋体" w:hAnsi="宋体"/>
                <w:color w:val="auto"/>
                <w:kern w:val="0"/>
                <w:sz w:val="24"/>
                <w:lang w:eastAsia="zh-CN"/>
              </w:rPr>
              <w:t>响应</w:t>
            </w:r>
            <w:r>
              <w:rPr>
                <w:rFonts w:hint="eastAsia" w:ascii="宋体" w:hAnsi="宋体"/>
                <w:color w:val="auto"/>
                <w:kern w:val="0"/>
                <w:sz w:val="24"/>
              </w:rPr>
              <w:t>文件材料组织简约程度、文字篇幅简练程度等。</w:t>
            </w:r>
          </w:p>
          <w:p>
            <w:pPr>
              <w:jc w:val="left"/>
              <w:rPr>
                <w:rFonts w:ascii="宋体" w:hAnsi="宋体"/>
                <w:color w:val="auto"/>
                <w:kern w:val="0"/>
                <w:sz w:val="24"/>
              </w:rPr>
            </w:pPr>
            <w:r>
              <w:rPr>
                <w:rFonts w:hint="eastAsia" w:ascii="宋体" w:hAnsi="宋体"/>
                <w:color w:val="auto"/>
                <w:kern w:val="0"/>
                <w:sz w:val="24"/>
              </w:rPr>
              <w:t>本项由</w:t>
            </w:r>
            <w:r>
              <w:rPr>
                <w:rFonts w:hint="eastAsia" w:ascii="宋体" w:hAnsi="宋体"/>
                <w:color w:val="auto"/>
                <w:sz w:val="24"/>
                <w:highlight w:val="white"/>
              </w:rPr>
              <w:t>磋商小组</w:t>
            </w:r>
            <w:r>
              <w:rPr>
                <w:rFonts w:hint="eastAsia" w:ascii="宋体" w:hAnsi="宋体"/>
                <w:color w:val="auto"/>
                <w:kern w:val="0"/>
                <w:sz w:val="24"/>
              </w:rPr>
              <w:t>根据</w:t>
            </w:r>
            <w:r>
              <w:rPr>
                <w:rFonts w:hint="eastAsia" w:ascii="宋体" w:hAnsi="宋体"/>
                <w:color w:val="auto"/>
                <w:kern w:val="0"/>
                <w:sz w:val="24"/>
                <w:lang w:eastAsia="zh-CN"/>
              </w:rPr>
              <w:t>磋商供应商响应</w:t>
            </w:r>
            <w:r>
              <w:rPr>
                <w:rFonts w:hint="eastAsia" w:ascii="宋体" w:hAnsi="宋体"/>
                <w:color w:val="auto"/>
                <w:kern w:val="0"/>
                <w:sz w:val="24"/>
              </w:rPr>
              <w:t>文件比较分析评定得分。</w:t>
            </w:r>
          </w:p>
          <w:p>
            <w:pPr>
              <w:jc w:val="left"/>
              <w:rPr>
                <w:rFonts w:ascii="宋体" w:hAnsi="宋体"/>
                <w:color w:val="auto"/>
                <w:kern w:val="0"/>
                <w:sz w:val="24"/>
              </w:rPr>
            </w:pPr>
            <w:r>
              <w:rPr>
                <w:rFonts w:hint="eastAsia" w:ascii="宋体" w:hAnsi="宋体"/>
                <w:color w:val="auto"/>
                <w:kern w:val="0"/>
                <w:sz w:val="24"/>
              </w:rPr>
              <w:t>材料组织非常简约，文字篇幅非常简练，</w:t>
            </w:r>
            <w:r>
              <w:rPr>
                <w:rFonts w:hint="eastAsia" w:ascii="宋体" w:hAnsi="宋体"/>
                <w:color w:val="auto"/>
                <w:kern w:val="0"/>
                <w:sz w:val="24"/>
                <w:lang w:eastAsia="zh-CN"/>
              </w:rPr>
              <w:t>响应</w:t>
            </w:r>
            <w:r>
              <w:rPr>
                <w:rFonts w:hint="eastAsia" w:ascii="宋体" w:hAnsi="宋体"/>
                <w:color w:val="auto"/>
                <w:kern w:val="0"/>
                <w:sz w:val="24"/>
              </w:rPr>
              <w:t>文件非常直观明了，为优, 得3分;</w:t>
            </w:r>
          </w:p>
          <w:p>
            <w:pPr>
              <w:jc w:val="left"/>
              <w:rPr>
                <w:rFonts w:ascii="宋体" w:hAnsi="宋体"/>
                <w:color w:val="auto"/>
                <w:kern w:val="0"/>
                <w:sz w:val="24"/>
              </w:rPr>
            </w:pPr>
            <w:r>
              <w:rPr>
                <w:rFonts w:hint="eastAsia" w:ascii="宋体" w:hAnsi="宋体"/>
                <w:color w:val="auto"/>
                <w:kern w:val="0"/>
                <w:sz w:val="24"/>
              </w:rPr>
              <w:t>材料组织基本简约，文字篇幅基本简练，</w:t>
            </w:r>
            <w:r>
              <w:rPr>
                <w:rFonts w:hint="eastAsia" w:ascii="宋体" w:hAnsi="宋体"/>
                <w:color w:val="auto"/>
                <w:kern w:val="0"/>
                <w:sz w:val="24"/>
                <w:lang w:eastAsia="zh-CN"/>
              </w:rPr>
              <w:t>响应</w:t>
            </w:r>
            <w:r>
              <w:rPr>
                <w:rFonts w:hint="eastAsia" w:ascii="宋体" w:hAnsi="宋体"/>
                <w:color w:val="auto"/>
                <w:kern w:val="0"/>
                <w:sz w:val="24"/>
              </w:rPr>
              <w:t>文件基本直观明了，为良，得2分;</w:t>
            </w:r>
          </w:p>
          <w:p>
            <w:pPr>
              <w:jc w:val="left"/>
              <w:rPr>
                <w:rFonts w:ascii="宋体" w:hAnsi="宋体"/>
                <w:color w:val="auto"/>
                <w:kern w:val="0"/>
                <w:sz w:val="24"/>
              </w:rPr>
            </w:pPr>
            <w:r>
              <w:rPr>
                <w:rFonts w:hint="eastAsia" w:ascii="宋体" w:hAnsi="宋体"/>
                <w:color w:val="auto"/>
                <w:kern w:val="0"/>
                <w:sz w:val="24"/>
              </w:rPr>
              <w:t>材料组织大致简约，文字篇幅大致简练，</w:t>
            </w:r>
            <w:r>
              <w:rPr>
                <w:rFonts w:hint="eastAsia" w:ascii="宋体" w:hAnsi="宋体"/>
                <w:color w:val="auto"/>
                <w:kern w:val="0"/>
                <w:sz w:val="24"/>
                <w:lang w:eastAsia="zh-CN"/>
              </w:rPr>
              <w:t>响应</w:t>
            </w:r>
            <w:r>
              <w:rPr>
                <w:rFonts w:hint="eastAsia" w:ascii="宋体" w:hAnsi="宋体"/>
                <w:color w:val="auto"/>
                <w:kern w:val="0"/>
                <w:sz w:val="24"/>
              </w:rPr>
              <w:t>文件大致直观明了，为一般，得1分;</w:t>
            </w:r>
          </w:p>
          <w:p>
            <w:pPr>
              <w:jc w:val="left"/>
              <w:rPr>
                <w:color w:val="auto"/>
              </w:rPr>
            </w:pPr>
            <w:r>
              <w:rPr>
                <w:rFonts w:hint="eastAsia" w:ascii="宋体" w:hAnsi="宋体"/>
                <w:color w:val="auto"/>
                <w:kern w:val="0"/>
                <w:sz w:val="24"/>
              </w:rPr>
              <w:t>材料组织繁琐零碎，文字篇幅冗长（包括网上下载、抄袭、复制粘贴等），为差，不得分。</w:t>
            </w:r>
          </w:p>
        </w:tc>
      </w:tr>
    </w:tbl>
    <w:p>
      <w:pPr>
        <w:jc w:val="left"/>
        <w:rPr>
          <w:color w:val="auto"/>
        </w:rPr>
      </w:pPr>
      <w:r>
        <w:rPr>
          <w:rFonts w:hint="eastAsia"/>
          <w:color w:val="auto"/>
        </w:rPr>
        <w:t>备注：磋商小组成员对“技术部分”合计分超出其他成员平均值±50%时，须写明评分依据及理由。</w:t>
      </w:r>
      <w:bookmarkEnd w:id="0"/>
    </w:p>
    <w:p>
      <w:pPr>
        <w:spacing w:line="360" w:lineRule="auto"/>
        <w:jc w:val="center"/>
        <w:rPr>
          <w:rFonts w:ascii="宋体" w:hAnsi="宋体"/>
          <w:b/>
          <w:color w:val="auto"/>
          <w:sz w:val="32"/>
          <w:szCs w:val="32"/>
        </w:rPr>
      </w:pPr>
    </w:p>
    <w:p>
      <w:pPr>
        <w:spacing w:line="360" w:lineRule="auto"/>
        <w:rPr>
          <w:rFonts w:ascii="宋体" w:hAnsi="宋体"/>
          <w:b/>
          <w:color w:val="auto"/>
          <w:sz w:val="32"/>
          <w:szCs w:val="32"/>
        </w:rPr>
      </w:pPr>
    </w:p>
    <w:p>
      <w:pPr>
        <w:pStyle w:val="2"/>
        <w:ind w:firstLine="693"/>
        <w:rPr>
          <w:rFonts w:ascii="宋体" w:hAnsi="宋体"/>
          <w:b/>
          <w:color w:val="auto"/>
          <w:sz w:val="32"/>
          <w:szCs w:val="32"/>
        </w:rPr>
      </w:pPr>
    </w:p>
    <w:p>
      <w:pPr>
        <w:pStyle w:val="2"/>
        <w:ind w:firstLine="693"/>
        <w:rPr>
          <w:rFonts w:ascii="宋体" w:hAnsi="宋体"/>
          <w:b/>
          <w:color w:val="auto"/>
          <w:sz w:val="32"/>
          <w:szCs w:val="32"/>
        </w:rPr>
      </w:pPr>
    </w:p>
    <w:p>
      <w:pPr>
        <w:pStyle w:val="2"/>
        <w:ind w:firstLine="693"/>
        <w:rPr>
          <w:rFonts w:ascii="宋体" w:hAnsi="宋体"/>
          <w:b/>
          <w:color w:val="auto"/>
          <w:sz w:val="32"/>
          <w:szCs w:val="32"/>
        </w:rPr>
      </w:pPr>
    </w:p>
    <w:p>
      <w:pPr>
        <w:pStyle w:val="2"/>
        <w:ind w:firstLine="693"/>
        <w:rPr>
          <w:rFonts w:ascii="宋体" w:hAnsi="宋体"/>
          <w:b/>
          <w:color w:val="auto"/>
          <w:sz w:val="32"/>
          <w:szCs w:val="32"/>
        </w:rPr>
      </w:pPr>
    </w:p>
    <w:p>
      <w:pPr>
        <w:pStyle w:val="2"/>
        <w:ind w:firstLine="693"/>
        <w:rPr>
          <w:rFonts w:ascii="宋体" w:hAnsi="宋体"/>
          <w:b/>
          <w:color w:val="auto"/>
          <w:sz w:val="32"/>
          <w:szCs w:val="32"/>
        </w:rPr>
      </w:pPr>
    </w:p>
    <w:p>
      <w:pPr>
        <w:pStyle w:val="2"/>
        <w:ind w:firstLine="693"/>
        <w:rPr>
          <w:rFonts w:ascii="宋体" w:hAnsi="宋体"/>
          <w:b/>
          <w:color w:val="auto"/>
          <w:sz w:val="32"/>
          <w:szCs w:val="32"/>
        </w:rPr>
      </w:pPr>
    </w:p>
    <w:p>
      <w:pPr>
        <w:pStyle w:val="2"/>
        <w:ind w:firstLine="693"/>
        <w:rPr>
          <w:rFonts w:ascii="宋体" w:hAnsi="宋体"/>
          <w:b/>
          <w:color w:val="auto"/>
          <w:sz w:val="32"/>
          <w:szCs w:val="32"/>
        </w:rPr>
      </w:pPr>
    </w:p>
    <w:p>
      <w:pPr>
        <w:pStyle w:val="2"/>
        <w:ind w:firstLine="693"/>
        <w:rPr>
          <w:rFonts w:ascii="宋体" w:hAnsi="宋体"/>
          <w:b/>
          <w:color w:val="auto"/>
          <w:sz w:val="32"/>
          <w:szCs w:val="32"/>
        </w:rPr>
      </w:pPr>
    </w:p>
    <w:p>
      <w:pPr>
        <w:pStyle w:val="2"/>
        <w:ind w:firstLine="693"/>
        <w:rPr>
          <w:rFonts w:ascii="宋体" w:hAnsi="宋体"/>
          <w:b/>
          <w:color w:val="auto"/>
          <w:sz w:val="32"/>
          <w:szCs w:val="32"/>
        </w:rPr>
      </w:pPr>
    </w:p>
    <w:p>
      <w:pPr>
        <w:pStyle w:val="2"/>
        <w:ind w:firstLine="693"/>
        <w:rPr>
          <w:rFonts w:ascii="宋体" w:hAnsi="宋体"/>
          <w:b/>
          <w:color w:val="auto"/>
          <w:sz w:val="32"/>
          <w:szCs w:val="32"/>
        </w:rPr>
      </w:pPr>
    </w:p>
    <w:p>
      <w:pPr>
        <w:pStyle w:val="2"/>
        <w:ind w:firstLine="693"/>
        <w:rPr>
          <w:rFonts w:ascii="宋体" w:hAnsi="宋体"/>
          <w:b/>
          <w:color w:val="auto"/>
          <w:sz w:val="32"/>
          <w:szCs w:val="32"/>
        </w:rPr>
      </w:pPr>
    </w:p>
    <w:p>
      <w:pPr>
        <w:pStyle w:val="2"/>
        <w:ind w:firstLine="693"/>
        <w:rPr>
          <w:rFonts w:ascii="宋体" w:hAnsi="宋体"/>
          <w:b/>
          <w:color w:val="auto"/>
          <w:sz w:val="32"/>
          <w:szCs w:val="32"/>
        </w:rPr>
      </w:pPr>
    </w:p>
    <w:p>
      <w:pPr>
        <w:pStyle w:val="2"/>
        <w:ind w:firstLine="693"/>
        <w:rPr>
          <w:rFonts w:ascii="宋体" w:hAnsi="宋体"/>
          <w:b/>
          <w:color w:val="auto"/>
          <w:sz w:val="32"/>
          <w:szCs w:val="32"/>
        </w:rPr>
      </w:pPr>
    </w:p>
    <w:p>
      <w:pPr>
        <w:pStyle w:val="2"/>
        <w:ind w:left="0" w:leftChars="0" w:firstLine="0" w:firstLineChars="0"/>
        <w:rPr>
          <w:rFonts w:ascii="宋体" w:hAnsi="宋体"/>
          <w:b/>
          <w:color w:val="auto"/>
          <w:sz w:val="32"/>
          <w:szCs w:val="32"/>
        </w:rPr>
      </w:pPr>
    </w:p>
    <w:p>
      <w:pPr>
        <w:spacing w:line="360" w:lineRule="auto"/>
        <w:jc w:val="center"/>
        <w:rPr>
          <w:b/>
          <w:bCs/>
          <w:color w:val="auto"/>
          <w:sz w:val="32"/>
          <w:szCs w:val="36"/>
        </w:rPr>
      </w:pPr>
      <w:r>
        <w:rPr>
          <w:rFonts w:hint="eastAsia" w:ascii="宋体" w:hAnsi="宋体"/>
          <w:b/>
          <w:color w:val="auto"/>
          <w:sz w:val="32"/>
          <w:szCs w:val="32"/>
        </w:rPr>
        <w:t>第六章  响应文件格式</w:t>
      </w:r>
    </w:p>
    <w:p>
      <w:pPr>
        <w:spacing w:line="360" w:lineRule="auto"/>
        <w:jc w:val="center"/>
        <w:rPr>
          <w:b/>
          <w:bCs/>
          <w:color w:val="auto"/>
          <w:sz w:val="28"/>
          <w:szCs w:val="28"/>
        </w:rPr>
      </w:pPr>
      <w:r>
        <w:rPr>
          <w:rFonts w:hint="eastAsia"/>
          <w:b/>
          <w:bCs/>
          <w:color w:val="auto"/>
          <w:sz w:val="28"/>
          <w:szCs w:val="28"/>
        </w:rPr>
        <w:t>一、磋商申请函格式</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 xml:space="preserve">采购人：                   </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 xml:space="preserve">采购代理机构：            </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在研究了</w:t>
      </w:r>
      <w:r>
        <w:rPr>
          <w:rFonts w:hint="eastAsia" w:ascii="宋体" w:hAnsi="宋体"/>
          <w:color w:val="auto"/>
          <w:sz w:val="24"/>
          <w:highlight w:val="white"/>
          <w:u w:val="single"/>
        </w:rPr>
        <w:t>项目名称及编号</w:t>
      </w:r>
      <w:r>
        <w:rPr>
          <w:rFonts w:hint="eastAsia" w:ascii="宋体" w:hAnsi="宋体"/>
          <w:color w:val="auto"/>
          <w:sz w:val="24"/>
          <w:highlight w:val="white"/>
        </w:rPr>
        <w:t>采购文件（含补充文件）后，我们愿意按人民币（大写******元）（小写****元）的投标报价，遵照磋商文件（含补充文件）的要求承担本采购项目的实施，完成本次采购范围的全部工作内容。</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 xml:space="preserve">   2、如果你单位接受我们的申请，我们将保证在磋商文件规定的服务期限内完成本采购项目的全部工作内容，并达到磋商文件规定的要求。</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3、我们同意从规定的首次提交响应文件之日起56个日历天的磋商有效期内严格遵守磋商文件的各项承诺。在此期限届满之前，本申请书始终将对我方具有约束力，并随时接受成交。</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4、在合同书正式签署生效之前，本申请书连同贵单位签发的中标通知书将构成我们双方之间共同遵守的文件，对双方具有约束力。</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5、我们理解你单位不负担我们的任何磋商费用。</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6、根据竞争性磋商须知第3条规定，我方承诺，与对本次磋商项目进行设计、编制规范和其他文件的单位或其附属机构均无关联。我方不是采购方的附属机构。</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7、随同本申请书，我们出具人民币共计*****元的磋商保证金。我们完全接受磋商标文件的规定。如有违反，你单位有权撤消我单位成交资格，另选成交单位。</w:t>
      </w:r>
    </w:p>
    <w:p>
      <w:pPr>
        <w:spacing w:line="360" w:lineRule="auto"/>
        <w:ind w:firstLine="480" w:firstLineChars="200"/>
        <w:rPr>
          <w:rFonts w:ascii="宋体" w:hAnsi="宋体"/>
          <w:color w:val="auto"/>
          <w:sz w:val="24"/>
          <w:highlight w:val="white"/>
        </w:rPr>
      </w:pPr>
      <w:r>
        <w:rPr>
          <w:rFonts w:hint="eastAsia" w:ascii="宋体" w:hAnsi="宋体"/>
          <w:color w:val="auto"/>
          <w:kern w:val="0"/>
          <w:sz w:val="24"/>
          <w:lang w:eastAsia="zh-CN"/>
        </w:rPr>
        <w:t>磋商供应商</w:t>
      </w:r>
      <w:r>
        <w:rPr>
          <w:rFonts w:hint="eastAsia" w:ascii="宋体" w:hAnsi="宋体"/>
          <w:color w:val="auto"/>
          <w:sz w:val="24"/>
          <w:highlight w:val="white"/>
        </w:rPr>
        <w:t xml:space="preserve">： (盖单位公章) </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单位地址及邮政编码：</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法人代表或授权代表：（纸质</w:t>
      </w:r>
      <w:r>
        <w:rPr>
          <w:rFonts w:hint="eastAsia" w:ascii="宋体" w:hAnsi="宋体"/>
          <w:color w:val="auto"/>
          <w:sz w:val="24"/>
          <w:highlight w:val="white"/>
          <w:lang w:eastAsia="zh-CN"/>
        </w:rPr>
        <w:t>响应</w:t>
      </w:r>
      <w:r>
        <w:rPr>
          <w:rFonts w:hint="eastAsia" w:ascii="宋体" w:hAnsi="宋体"/>
          <w:color w:val="auto"/>
          <w:sz w:val="24"/>
          <w:highlight w:val="white"/>
        </w:rPr>
        <w:t xml:space="preserve">文件中须签字或盖章）      </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 xml:space="preserve">联系电话（传真）：  </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 xml:space="preserve">开户银行名称：                      </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 xml:space="preserve">开户银行账号（基本账户）：          </w:t>
      </w:r>
    </w:p>
    <w:p>
      <w:pPr>
        <w:spacing w:line="360" w:lineRule="auto"/>
        <w:ind w:firstLine="480" w:firstLineChars="200"/>
        <w:rPr>
          <w:rFonts w:ascii="宋体" w:hAnsi="宋体"/>
          <w:color w:val="auto"/>
          <w:sz w:val="24"/>
          <w:highlight w:val="white"/>
        </w:rPr>
      </w:pP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 xml:space="preserve">                                                    年    月    日</w:t>
      </w:r>
    </w:p>
    <w:p>
      <w:pPr>
        <w:pStyle w:val="13"/>
        <w:adjustRightInd w:val="0"/>
        <w:snapToGrid w:val="0"/>
        <w:jc w:val="center"/>
        <w:rPr>
          <w:rFonts w:ascii="Times New Roman" w:hAnsi="Times New Roman"/>
          <w:b/>
          <w:bCs/>
          <w:color w:val="auto"/>
          <w:sz w:val="28"/>
          <w:szCs w:val="28"/>
        </w:rPr>
      </w:pPr>
      <w:r>
        <w:rPr>
          <w:rFonts w:hint="eastAsia"/>
          <w:color w:val="auto"/>
          <w:sz w:val="28"/>
          <w:szCs w:val="28"/>
          <w:u w:val="single"/>
        </w:rPr>
        <w:br w:type="page"/>
      </w:r>
      <w:r>
        <w:rPr>
          <w:rFonts w:hint="eastAsia" w:ascii="Times New Roman" w:hAnsi="Times New Roman"/>
          <w:b/>
          <w:bCs/>
          <w:color w:val="auto"/>
          <w:sz w:val="28"/>
          <w:szCs w:val="28"/>
        </w:rPr>
        <w:t>二、授权委托书</w:t>
      </w:r>
    </w:p>
    <w:p>
      <w:pPr>
        <w:spacing w:line="360" w:lineRule="auto"/>
        <w:ind w:firstLine="560" w:firstLineChars="200"/>
        <w:rPr>
          <w:rFonts w:ascii="宋体" w:hAnsi="宋体" w:cs="宋体"/>
          <w:color w:val="auto"/>
          <w:sz w:val="28"/>
          <w:szCs w:val="28"/>
        </w:rPr>
      </w:pP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本授权委托书声明：我</w:t>
      </w:r>
      <w:r>
        <w:rPr>
          <w:rFonts w:hint="eastAsia" w:ascii="宋体" w:hAnsi="宋体"/>
          <w:color w:val="auto"/>
          <w:sz w:val="24"/>
          <w:highlight w:val="white"/>
          <w:u w:val="single"/>
        </w:rPr>
        <w:t xml:space="preserve">         (姓名)</w:t>
      </w:r>
      <w:r>
        <w:rPr>
          <w:rFonts w:hint="eastAsia" w:ascii="宋体" w:hAnsi="宋体"/>
          <w:color w:val="auto"/>
          <w:sz w:val="24"/>
          <w:highlight w:val="white"/>
        </w:rPr>
        <w:t>系</w:t>
      </w:r>
      <w:r>
        <w:rPr>
          <w:rFonts w:hint="eastAsia" w:ascii="宋体" w:hAnsi="宋体"/>
          <w:color w:val="auto"/>
          <w:sz w:val="24"/>
          <w:highlight w:val="white"/>
          <w:u w:val="single"/>
        </w:rPr>
        <w:t xml:space="preserve">            (供应商名称)</w:t>
      </w:r>
      <w:r>
        <w:rPr>
          <w:rFonts w:hint="eastAsia" w:ascii="宋体" w:hAnsi="宋体"/>
          <w:color w:val="auto"/>
          <w:sz w:val="24"/>
          <w:highlight w:val="white"/>
        </w:rPr>
        <w:t>的法</w:t>
      </w:r>
      <w:r>
        <w:rPr>
          <w:rFonts w:hint="eastAsia" w:ascii="宋体" w:hAnsi="宋体"/>
          <w:color w:val="auto"/>
          <w:sz w:val="24"/>
          <w:highlight w:val="white"/>
          <w:lang w:eastAsia="zh-CN"/>
        </w:rPr>
        <w:t>定代表</w:t>
      </w:r>
      <w:r>
        <w:rPr>
          <w:rFonts w:hint="eastAsia" w:ascii="宋体" w:hAnsi="宋体"/>
          <w:color w:val="auto"/>
          <w:sz w:val="24"/>
          <w:highlight w:val="white"/>
        </w:rPr>
        <w:t>人代表，现授权委托</w:t>
      </w:r>
      <w:r>
        <w:rPr>
          <w:rFonts w:hint="eastAsia" w:ascii="宋体" w:hAnsi="宋体"/>
          <w:color w:val="auto"/>
          <w:sz w:val="24"/>
          <w:highlight w:val="white"/>
          <w:u w:val="single"/>
        </w:rPr>
        <w:t xml:space="preserve">          (姓名)</w:t>
      </w:r>
      <w:r>
        <w:rPr>
          <w:rFonts w:hint="eastAsia" w:ascii="宋体" w:hAnsi="宋体"/>
          <w:color w:val="auto"/>
          <w:sz w:val="24"/>
          <w:highlight w:val="white"/>
        </w:rPr>
        <w:t>为我公司代理人，参加</w:t>
      </w:r>
      <w:r>
        <w:rPr>
          <w:rFonts w:hint="eastAsia" w:ascii="宋体" w:hAnsi="宋体"/>
          <w:color w:val="auto"/>
          <w:sz w:val="24"/>
          <w:highlight w:val="white"/>
          <w:u w:val="single"/>
        </w:rPr>
        <w:t xml:space="preserve">             (采购人)</w:t>
      </w:r>
      <w:r>
        <w:rPr>
          <w:rFonts w:hint="eastAsia" w:ascii="宋体" w:hAnsi="宋体"/>
          <w:color w:val="auto"/>
          <w:sz w:val="24"/>
          <w:highlight w:val="white"/>
        </w:rPr>
        <w:t>的               项目的磋商活动。授权委托人在参加磋商过程中所签署的一切文件和处理与之有关的一切事务，我均予以承认。</w:t>
      </w:r>
    </w:p>
    <w:p>
      <w:pPr>
        <w:spacing w:line="360" w:lineRule="auto"/>
        <w:ind w:firstLine="480" w:firstLineChars="200"/>
        <w:jc w:val="left"/>
        <w:rPr>
          <w:rFonts w:ascii="宋体" w:hAnsi="宋体"/>
          <w:color w:val="auto"/>
          <w:sz w:val="24"/>
          <w:highlight w:val="white"/>
        </w:rPr>
      </w:pPr>
      <w:r>
        <w:rPr>
          <w:rFonts w:hint="eastAsia" w:ascii="宋体" w:hAnsi="宋体"/>
          <w:color w:val="auto"/>
          <w:sz w:val="24"/>
          <w:highlight w:val="white"/>
        </w:rPr>
        <w:t>授权委托人无转委托权。特此委托。</w:t>
      </w:r>
      <w:r>
        <w:rPr>
          <w:rFonts w:hint="eastAsia" w:ascii="宋体" w:hAnsi="宋体"/>
          <w:color w:val="auto"/>
          <w:sz w:val="24"/>
          <w:highlight w:val="white"/>
        </w:rPr>
        <w:cr/>
      </w:r>
      <w:r>
        <w:rPr>
          <w:rFonts w:hint="eastAsia" w:ascii="宋体" w:hAnsi="宋体"/>
          <w:color w:val="auto"/>
          <w:sz w:val="24"/>
          <w:highlight w:val="white"/>
        </w:rPr>
        <w:t>附：授权委托人身份证复印件</w:t>
      </w:r>
    </w:p>
    <w:p>
      <w:pPr>
        <w:spacing w:line="360" w:lineRule="auto"/>
        <w:rPr>
          <w:rFonts w:ascii="宋体" w:hAnsi="宋体"/>
          <w:color w:val="auto"/>
          <w:sz w:val="24"/>
          <w:highlight w:val="white"/>
        </w:rPr>
      </w:pP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代理人：             性别：                 年龄：</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单位：               部门：                 职务：</w:t>
      </w:r>
    </w:p>
    <w:p>
      <w:pPr>
        <w:spacing w:line="360" w:lineRule="auto"/>
        <w:ind w:firstLine="480" w:firstLineChars="200"/>
        <w:rPr>
          <w:rFonts w:ascii="宋体" w:hAnsi="宋体"/>
          <w:color w:val="auto"/>
          <w:sz w:val="24"/>
          <w:highlight w:val="white"/>
        </w:rPr>
      </w:pPr>
      <w:r>
        <w:rPr>
          <w:rFonts w:hint="eastAsia" w:ascii="宋体" w:hAnsi="宋体"/>
          <w:color w:val="auto"/>
          <w:kern w:val="0"/>
          <w:sz w:val="24"/>
          <w:lang w:eastAsia="zh-CN"/>
        </w:rPr>
        <w:t>磋商供应商</w:t>
      </w:r>
      <w:r>
        <w:rPr>
          <w:rFonts w:hint="eastAsia" w:ascii="宋体" w:hAnsi="宋体"/>
          <w:color w:val="auto"/>
          <w:sz w:val="24"/>
          <w:highlight w:val="white"/>
        </w:rPr>
        <w:t xml:space="preserve">：(盖单位公章) </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法</w:t>
      </w:r>
      <w:r>
        <w:rPr>
          <w:rFonts w:hint="eastAsia" w:ascii="宋体" w:hAnsi="宋体"/>
          <w:color w:val="auto"/>
          <w:sz w:val="24"/>
          <w:highlight w:val="white"/>
          <w:lang w:eastAsia="zh-CN"/>
        </w:rPr>
        <w:t>定代表</w:t>
      </w:r>
      <w:r>
        <w:rPr>
          <w:rFonts w:hint="eastAsia" w:ascii="宋体" w:hAnsi="宋体"/>
          <w:color w:val="auto"/>
          <w:sz w:val="24"/>
          <w:highlight w:val="white"/>
        </w:rPr>
        <w:t>人：(签字或盖章)</w:t>
      </w:r>
    </w:p>
    <w:p>
      <w:pPr>
        <w:spacing w:line="360" w:lineRule="auto"/>
        <w:ind w:firstLine="480" w:firstLineChars="200"/>
        <w:rPr>
          <w:rFonts w:ascii="宋体" w:hAnsi="宋体"/>
          <w:color w:val="auto"/>
          <w:sz w:val="24"/>
          <w:highlight w:val="white"/>
        </w:rPr>
      </w:pP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日期：         年     月     日</w:t>
      </w:r>
    </w:p>
    <w:p>
      <w:pPr>
        <w:spacing w:line="360" w:lineRule="auto"/>
        <w:ind w:firstLine="560" w:firstLineChars="200"/>
        <w:jc w:val="right"/>
        <w:rPr>
          <w:rFonts w:ascii="宋体" w:hAnsi="宋体" w:cs="宋体"/>
          <w:color w:val="auto"/>
          <w:sz w:val="28"/>
          <w:szCs w:val="28"/>
        </w:rPr>
      </w:pPr>
    </w:p>
    <w:p>
      <w:pPr>
        <w:spacing w:line="360" w:lineRule="auto"/>
        <w:jc w:val="center"/>
        <w:rPr>
          <w:rFonts w:ascii="黑体" w:hAnsi="黑体" w:eastAsia="黑体"/>
          <w:b/>
          <w:color w:val="auto"/>
          <w:sz w:val="32"/>
          <w:szCs w:val="32"/>
        </w:rPr>
      </w:pPr>
      <w:r>
        <w:rPr>
          <w:rFonts w:ascii="黑体" w:hAnsi="黑体" w:eastAsia="黑体"/>
          <w:b/>
          <w:color w:val="auto"/>
          <w:sz w:val="32"/>
          <w:szCs w:val="32"/>
        </w:rPr>
        <w:t>法定代表人证明</w:t>
      </w:r>
    </w:p>
    <w:p>
      <w:pPr>
        <w:tabs>
          <w:tab w:val="left" w:pos="6300"/>
        </w:tabs>
        <w:snapToGrid w:val="0"/>
        <w:spacing w:line="460" w:lineRule="exact"/>
        <w:ind w:firstLine="570"/>
        <w:rPr>
          <w:rFonts w:ascii="宋体" w:hAnsi="宋体"/>
          <w:color w:val="auto"/>
        </w:rPr>
      </w:pP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u w:val="single"/>
        </w:rPr>
        <w:t xml:space="preserve">           （法定代表人姓名）</w:t>
      </w:r>
      <w:r>
        <w:rPr>
          <w:rFonts w:hint="eastAsia" w:ascii="宋体" w:hAnsi="宋体"/>
          <w:color w:val="auto"/>
          <w:sz w:val="24"/>
          <w:highlight w:val="white"/>
        </w:rPr>
        <w:t>系</w:t>
      </w:r>
      <w:r>
        <w:rPr>
          <w:rFonts w:hint="eastAsia" w:ascii="宋体" w:hAnsi="宋体"/>
          <w:color w:val="auto"/>
          <w:sz w:val="24"/>
          <w:highlight w:val="white"/>
          <w:u w:val="single"/>
        </w:rPr>
        <w:t xml:space="preserve">              (供应商名称)</w:t>
      </w:r>
      <w:r>
        <w:rPr>
          <w:rFonts w:hint="eastAsia" w:ascii="宋体" w:hAnsi="宋体"/>
          <w:color w:val="auto"/>
          <w:sz w:val="24"/>
          <w:highlight w:val="white"/>
        </w:rPr>
        <w:t xml:space="preserve">法定代表人，职务为 </w:t>
      </w:r>
      <w:r>
        <w:rPr>
          <w:rFonts w:hint="eastAsia" w:ascii="宋体" w:hAnsi="宋体"/>
          <w:color w:val="auto"/>
          <w:sz w:val="24"/>
          <w:highlight w:val="white"/>
          <w:u w:val="single"/>
        </w:rPr>
        <w:t>（职务名称）。</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特此证明。</w:t>
      </w:r>
    </w:p>
    <w:p>
      <w:pPr>
        <w:spacing w:line="360" w:lineRule="auto"/>
        <w:ind w:firstLine="480" w:firstLineChars="200"/>
        <w:rPr>
          <w:rFonts w:ascii="宋体" w:hAnsi="宋体"/>
          <w:color w:val="auto"/>
          <w:sz w:val="24"/>
          <w:highlight w:val="white"/>
        </w:rPr>
      </w:pPr>
      <w:r>
        <w:rPr>
          <w:rFonts w:hint="eastAsia" w:ascii="宋体" w:hAnsi="宋体"/>
          <w:color w:val="auto"/>
          <w:sz w:val="24"/>
          <w:highlight w:val="white"/>
        </w:rPr>
        <w:t>附：法定代表人身份证复印件</w:t>
      </w:r>
    </w:p>
    <w:p>
      <w:pPr>
        <w:spacing w:line="360" w:lineRule="auto"/>
        <w:ind w:firstLine="480" w:firstLineChars="200"/>
        <w:jc w:val="right"/>
        <w:rPr>
          <w:rFonts w:ascii="宋体" w:hAnsi="宋体"/>
          <w:color w:val="auto"/>
          <w:sz w:val="24"/>
          <w:highlight w:val="white"/>
        </w:rPr>
      </w:pPr>
      <w:r>
        <w:rPr>
          <w:rFonts w:hint="eastAsia" w:ascii="宋体" w:hAnsi="宋体"/>
          <w:color w:val="auto"/>
          <w:sz w:val="24"/>
          <w:highlight w:val="white"/>
        </w:rPr>
        <w:t xml:space="preserve">                                               </w:t>
      </w:r>
      <w:r>
        <w:rPr>
          <w:rFonts w:hint="eastAsia" w:ascii="宋体" w:hAnsi="宋体"/>
          <w:color w:val="auto"/>
          <w:kern w:val="0"/>
          <w:sz w:val="24"/>
          <w:lang w:eastAsia="zh-CN"/>
        </w:rPr>
        <w:t>磋商供应商</w:t>
      </w:r>
      <w:r>
        <w:rPr>
          <w:rFonts w:hint="eastAsia" w:ascii="宋体" w:hAnsi="宋体"/>
          <w:color w:val="auto"/>
          <w:sz w:val="24"/>
          <w:highlight w:val="white"/>
        </w:rPr>
        <w:t xml:space="preserve">全称(盖单位公章)                                                     </w:t>
      </w:r>
    </w:p>
    <w:p>
      <w:pPr>
        <w:spacing w:line="360" w:lineRule="auto"/>
        <w:ind w:firstLine="480" w:firstLineChars="200"/>
        <w:jc w:val="right"/>
        <w:rPr>
          <w:rFonts w:ascii="宋体" w:hAnsi="宋体"/>
          <w:color w:val="auto"/>
          <w:sz w:val="24"/>
          <w:highlight w:val="white"/>
        </w:rPr>
      </w:pPr>
      <w:r>
        <w:rPr>
          <w:rFonts w:hint="eastAsia" w:ascii="宋体" w:hAnsi="宋体"/>
          <w:color w:val="auto"/>
          <w:sz w:val="24"/>
          <w:highlight w:val="white"/>
        </w:rPr>
        <w:t xml:space="preserve"> 年   月   日</w:t>
      </w:r>
    </w:p>
    <w:p>
      <w:pPr>
        <w:spacing w:line="360" w:lineRule="auto"/>
        <w:ind w:firstLine="480" w:firstLineChars="200"/>
        <w:jc w:val="right"/>
        <w:rPr>
          <w:rFonts w:ascii="宋体" w:hAnsi="宋体"/>
          <w:color w:val="auto"/>
          <w:sz w:val="24"/>
          <w:highlight w:val="white"/>
        </w:rPr>
      </w:pPr>
    </w:p>
    <w:p>
      <w:pPr>
        <w:spacing w:line="360" w:lineRule="auto"/>
        <w:ind w:firstLine="560" w:firstLineChars="200"/>
        <w:rPr>
          <w:rFonts w:ascii="宋体" w:hAnsi="宋体" w:cs="宋体"/>
          <w:color w:val="auto"/>
          <w:sz w:val="28"/>
          <w:szCs w:val="28"/>
        </w:rPr>
      </w:pPr>
    </w:p>
    <w:p>
      <w:pPr>
        <w:pStyle w:val="13"/>
        <w:spacing w:line="360" w:lineRule="auto"/>
        <w:rPr>
          <w:rFonts w:ascii="黑体" w:hAnsi="宋体" w:eastAsia="黑体"/>
          <w:color w:val="auto"/>
          <w:sz w:val="32"/>
        </w:rPr>
      </w:pPr>
    </w:p>
    <w:p>
      <w:pPr>
        <w:pStyle w:val="13"/>
        <w:spacing w:line="360" w:lineRule="auto"/>
        <w:ind w:firstLine="697" w:firstLineChars="218"/>
        <w:jc w:val="center"/>
        <w:rPr>
          <w:rFonts w:ascii="黑体" w:hAnsi="宋体" w:eastAsia="黑体"/>
          <w:color w:val="auto"/>
          <w:sz w:val="32"/>
        </w:rPr>
        <w:sectPr>
          <w:headerReference r:id="rId4" w:type="first"/>
          <w:headerReference r:id="rId3" w:type="default"/>
          <w:footerReference r:id="rId5" w:type="default"/>
          <w:footerReference r:id="rId6" w:type="even"/>
          <w:pgSz w:w="11906" w:h="16838"/>
          <w:pgMar w:top="1247" w:right="1274" w:bottom="794" w:left="1276" w:header="851" w:footer="992" w:gutter="0"/>
          <w:cols w:space="720" w:num="1"/>
          <w:docGrid w:type="lines" w:linePitch="312" w:charSpace="0"/>
        </w:sectPr>
      </w:pPr>
    </w:p>
    <w:p>
      <w:pPr>
        <w:spacing w:line="400" w:lineRule="exact"/>
        <w:rPr>
          <w:rFonts w:ascii="宋体" w:hAnsi="宋体" w:cs="宋体"/>
          <w:color w:val="auto"/>
          <w:sz w:val="24"/>
          <w:highlight w:val="white"/>
        </w:rPr>
      </w:pPr>
    </w:p>
    <w:p>
      <w:pPr>
        <w:spacing w:line="400" w:lineRule="exact"/>
        <w:jc w:val="center"/>
        <w:rPr>
          <w:rFonts w:ascii="宋体" w:hAnsi="宋体" w:cs="宋体"/>
          <w:b/>
          <w:color w:val="auto"/>
          <w:sz w:val="28"/>
          <w:szCs w:val="28"/>
        </w:rPr>
      </w:pPr>
      <w:r>
        <w:rPr>
          <w:rFonts w:hint="eastAsia" w:ascii="宋体" w:hAnsi="宋体" w:cs="宋体"/>
          <w:b/>
          <w:color w:val="auto"/>
          <w:sz w:val="28"/>
          <w:szCs w:val="28"/>
          <w:highlight w:val="white"/>
        </w:rPr>
        <w:t>三、</w:t>
      </w:r>
      <w:r>
        <w:rPr>
          <w:rFonts w:hint="eastAsia" w:ascii="宋体" w:cs="宋体"/>
          <w:b/>
          <w:color w:val="auto"/>
          <w:sz w:val="28"/>
          <w:szCs w:val="28"/>
        </w:rPr>
        <w:t>首次</w:t>
      </w:r>
      <w:r>
        <w:rPr>
          <w:rFonts w:hint="eastAsia" w:ascii="宋体" w:hAnsi="宋体" w:cs="宋体"/>
          <w:b/>
          <w:color w:val="auto"/>
          <w:sz w:val="28"/>
          <w:szCs w:val="28"/>
          <w:highlight w:val="white"/>
        </w:rPr>
        <w:t>报价表（格式）</w:t>
      </w:r>
    </w:p>
    <w:p>
      <w:pPr>
        <w:spacing w:line="360" w:lineRule="auto"/>
        <w:ind w:hanging="1800"/>
        <w:jc w:val="center"/>
        <w:rPr>
          <w:color w:val="auto"/>
          <w:sz w:val="24"/>
        </w:rPr>
      </w:pPr>
    </w:p>
    <w:tbl>
      <w:tblPr>
        <w:tblStyle w:val="23"/>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694"/>
        <w:gridCol w:w="1559"/>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jc w:val="center"/>
        </w:trPr>
        <w:tc>
          <w:tcPr>
            <w:tcW w:w="1817" w:type="dxa"/>
            <w:vAlign w:val="center"/>
          </w:tcPr>
          <w:p>
            <w:pPr>
              <w:jc w:val="center"/>
              <w:rPr>
                <w:rFonts w:ascii="宋体" w:hAnsi="宋体"/>
                <w:color w:val="auto"/>
                <w:sz w:val="28"/>
                <w:szCs w:val="28"/>
              </w:rPr>
            </w:pPr>
            <w:r>
              <w:rPr>
                <w:rFonts w:hint="eastAsia" w:ascii="宋体" w:hAnsi="宋体"/>
                <w:color w:val="auto"/>
                <w:sz w:val="28"/>
                <w:szCs w:val="28"/>
              </w:rPr>
              <w:t>项目名称</w:t>
            </w:r>
          </w:p>
        </w:tc>
        <w:tc>
          <w:tcPr>
            <w:tcW w:w="2694" w:type="dxa"/>
            <w:vAlign w:val="center"/>
          </w:tcPr>
          <w:p>
            <w:pPr>
              <w:jc w:val="center"/>
              <w:rPr>
                <w:rFonts w:ascii="宋体" w:hAnsi="宋体"/>
                <w:color w:val="auto"/>
                <w:sz w:val="28"/>
                <w:szCs w:val="28"/>
              </w:rPr>
            </w:pPr>
          </w:p>
        </w:tc>
        <w:tc>
          <w:tcPr>
            <w:tcW w:w="1559" w:type="dxa"/>
            <w:vAlign w:val="center"/>
          </w:tcPr>
          <w:p>
            <w:pPr>
              <w:jc w:val="center"/>
              <w:rPr>
                <w:rFonts w:ascii="宋体" w:hAnsi="宋体"/>
                <w:color w:val="auto"/>
                <w:sz w:val="28"/>
                <w:szCs w:val="28"/>
              </w:rPr>
            </w:pPr>
            <w:r>
              <w:rPr>
                <w:rFonts w:hint="eastAsia" w:ascii="宋体" w:hAnsi="宋体"/>
                <w:color w:val="auto"/>
                <w:sz w:val="28"/>
                <w:szCs w:val="28"/>
              </w:rPr>
              <w:t>项目编号</w:t>
            </w:r>
          </w:p>
        </w:tc>
        <w:tc>
          <w:tcPr>
            <w:tcW w:w="2665" w:type="dxa"/>
            <w:vAlign w:val="center"/>
          </w:tcPr>
          <w:p>
            <w:pPr>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1817" w:type="dxa"/>
            <w:vAlign w:val="center"/>
          </w:tcPr>
          <w:p>
            <w:pPr>
              <w:jc w:val="center"/>
              <w:rPr>
                <w:rFonts w:ascii="宋体" w:hAnsi="宋体"/>
                <w:color w:val="auto"/>
                <w:sz w:val="28"/>
                <w:szCs w:val="28"/>
              </w:rPr>
            </w:pPr>
            <w:r>
              <w:rPr>
                <w:rFonts w:hint="eastAsia" w:ascii="宋体" w:hAnsi="宋体"/>
                <w:color w:val="auto"/>
                <w:sz w:val="28"/>
                <w:szCs w:val="28"/>
                <w:lang w:eastAsia="zh-CN"/>
              </w:rPr>
              <w:t>磋商供应商</w:t>
            </w:r>
            <w:r>
              <w:rPr>
                <w:rFonts w:hint="eastAsia" w:ascii="宋体" w:hAnsi="宋体"/>
                <w:color w:val="auto"/>
                <w:sz w:val="28"/>
                <w:szCs w:val="28"/>
              </w:rPr>
              <w:t>名称</w:t>
            </w:r>
          </w:p>
        </w:tc>
        <w:tc>
          <w:tcPr>
            <w:tcW w:w="6918" w:type="dxa"/>
            <w:gridSpan w:val="3"/>
            <w:vAlign w:val="center"/>
          </w:tcPr>
          <w:p>
            <w:pPr>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8" w:hRule="atLeast"/>
          <w:jc w:val="center"/>
        </w:trPr>
        <w:tc>
          <w:tcPr>
            <w:tcW w:w="1817" w:type="dxa"/>
            <w:vAlign w:val="center"/>
          </w:tcPr>
          <w:p>
            <w:pPr>
              <w:jc w:val="center"/>
              <w:rPr>
                <w:rFonts w:ascii="宋体" w:hAnsi="宋体"/>
                <w:color w:val="auto"/>
                <w:sz w:val="28"/>
                <w:szCs w:val="28"/>
              </w:rPr>
            </w:pPr>
            <w:r>
              <w:rPr>
                <w:rFonts w:hint="eastAsia" w:ascii="宋体" w:hAnsi="宋体"/>
                <w:color w:val="auto"/>
                <w:sz w:val="28"/>
                <w:szCs w:val="28"/>
              </w:rPr>
              <w:t>报价</w:t>
            </w:r>
          </w:p>
        </w:tc>
        <w:tc>
          <w:tcPr>
            <w:tcW w:w="6918" w:type="dxa"/>
            <w:gridSpan w:val="3"/>
            <w:vAlign w:val="center"/>
          </w:tcPr>
          <w:p>
            <w:pPr>
              <w:jc w:val="center"/>
              <w:rPr>
                <w:rFonts w:ascii="宋体" w:hAnsi="宋体"/>
                <w:color w:val="auto"/>
                <w:sz w:val="28"/>
                <w:szCs w:val="28"/>
              </w:rPr>
            </w:pPr>
            <w:r>
              <w:rPr>
                <w:rFonts w:hint="eastAsia" w:ascii="宋体" w:hAnsi="宋体"/>
                <w:color w:val="auto"/>
                <w:sz w:val="28"/>
                <w:szCs w:val="28"/>
              </w:rPr>
              <w:t>大写：元</w:t>
            </w:r>
          </w:p>
          <w:p>
            <w:pPr>
              <w:jc w:val="center"/>
              <w:rPr>
                <w:rFonts w:ascii="宋体" w:hAnsi="宋体"/>
                <w:color w:val="auto"/>
                <w:sz w:val="28"/>
                <w:szCs w:val="28"/>
              </w:rPr>
            </w:pPr>
            <w:r>
              <w:rPr>
                <w:rFonts w:hint="eastAsia" w:ascii="宋体" w:hAnsi="宋体"/>
                <w:color w:val="auto"/>
                <w:sz w:val="28"/>
                <w:szCs w:val="28"/>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jc w:val="center"/>
        </w:trPr>
        <w:tc>
          <w:tcPr>
            <w:tcW w:w="1817" w:type="dxa"/>
            <w:vAlign w:val="center"/>
          </w:tcPr>
          <w:p>
            <w:pPr>
              <w:jc w:val="center"/>
              <w:rPr>
                <w:rFonts w:ascii="宋体" w:hAnsi="宋体"/>
                <w:color w:val="auto"/>
                <w:sz w:val="28"/>
                <w:szCs w:val="28"/>
              </w:rPr>
            </w:pPr>
            <w:r>
              <w:rPr>
                <w:rFonts w:hint="eastAsia" w:ascii="宋体" w:hAnsi="宋体"/>
                <w:color w:val="auto"/>
                <w:sz w:val="28"/>
                <w:szCs w:val="28"/>
              </w:rPr>
              <w:t>备注</w:t>
            </w:r>
          </w:p>
        </w:tc>
        <w:tc>
          <w:tcPr>
            <w:tcW w:w="6918" w:type="dxa"/>
            <w:gridSpan w:val="3"/>
            <w:vAlign w:val="center"/>
          </w:tcPr>
          <w:p>
            <w:pPr>
              <w:jc w:val="center"/>
              <w:rPr>
                <w:rFonts w:ascii="宋体" w:hAnsi="宋体"/>
                <w:color w:val="auto"/>
                <w:sz w:val="28"/>
                <w:szCs w:val="28"/>
              </w:rPr>
            </w:pPr>
          </w:p>
        </w:tc>
      </w:tr>
    </w:tbl>
    <w:p>
      <w:pPr>
        <w:spacing w:line="360" w:lineRule="auto"/>
        <w:rPr>
          <w:rFonts w:ascii="宋体" w:hAnsi="宋体"/>
          <w:color w:val="auto"/>
          <w:szCs w:val="18"/>
          <w:highlight w:val="white"/>
        </w:rPr>
      </w:pPr>
    </w:p>
    <w:p>
      <w:pPr>
        <w:spacing w:line="360" w:lineRule="auto"/>
        <w:rPr>
          <w:rFonts w:ascii="宋体" w:hAnsi="宋体"/>
          <w:color w:val="auto"/>
          <w:szCs w:val="18"/>
          <w:highlight w:val="white"/>
        </w:rPr>
      </w:pPr>
    </w:p>
    <w:p>
      <w:pPr>
        <w:spacing w:line="360" w:lineRule="auto"/>
        <w:rPr>
          <w:rFonts w:ascii="宋体" w:hAnsi="宋体"/>
          <w:color w:val="auto"/>
          <w:szCs w:val="18"/>
          <w:highlight w:val="white"/>
        </w:rPr>
      </w:pPr>
    </w:p>
    <w:p>
      <w:pPr>
        <w:spacing w:line="360" w:lineRule="auto"/>
        <w:rPr>
          <w:rFonts w:ascii="宋体" w:hAnsi="宋体"/>
          <w:color w:val="auto"/>
          <w:szCs w:val="18"/>
          <w:highlight w:val="white"/>
        </w:rPr>
      </w:pPr>
      <w:r>
        <w:rPr>
          <w:rFonts w:hint="eastAsia" w:ascii="宋体" w:hAnsi="宋体"/>
          <w:color w:val="auto"/>
          <w:szCs w:val="18"/>
          <w:highlight w:val="white"/>
          <w:lang w:eastAsia="zh-CN"/>
        </w:rPr>
        <w:t xml:space="preserve">磋商供应商：(盖单位公章) </w:t>
      </w:r>
    </w:p>
    <w:p>
      <w:pPr>
        <w:spacing w:line="360" w:lineRule="auto"/>
        <w:rPr>
          <w:rFonts w:ascii="宋体" w:hAnsi="宋体"/>
          <w:color w:val="auto"/>
          <w:szCs w:val="18"/>
          <w:highlight w:val="white"/>
        </w:rPr>
      </w:pPr>
    </w:p>
    <w:p>
      <w:pPr>
        <w:spacing w:line="360" w:lineRule="auto"/>
        <w:rPr>
          <w:rFonts w:ascii="宋体" w:hAnsi="宋体"/>
          <w:color w:val="auto"/>
          <w:szCs w:val="18"/>
          <w:highlight w:val="white"/>
        </w:rPr>
      </w:pPr>
      <w:r>
        <w:rPr>
          <w:rFonts w:hint="eastAsia" w:ascii="宋体" w:hAnsi="宋体"/>
          <w:color w:val="auto"/>
          <w:szCs w:val="18"/>
          <w:highlight w:val="white"/>
        </w:rPr>
        <w:t>法人代表或授权代表：</w:t>
      </w:r>
      <w:r>
        <w:rPr>
          <w:rFonts w:hint="eastAsia" w:ascii="宋体" w:hAnsi="宋体"/>
          <w:color w:val="auto"/>
          <w:szCs w:val="21"/>
          <w:highlight w:val="white"/>
        </w:rPr>
        <w:t>（纸质</w:t>
      </w:r>
      <w:r>
        <w:rPr>
          <w:rFonts w:hint="eastAsia" w:ascii="宋体" w:hAnsi="宋体"/>
          <w:color w:val="auto"/>
          <w:szCs w:val="21"/>
          <w:highlight w:val="white"/>
          <w:lang w:eastAsia="zh-CN"/>
        </w:rPr>
        <w:t>响应</w:t>
      </w:r>
      <w:r>
        <w:rPr>
          <w:rFonts w:hint="eastAsia" w:ascii="宋体" w:hAnsi="宋体"/>
          <w:color w:val="auto"/>
          <w:szCs w:val="21"/>
          <w:highlight w:val="white"/>
        </w:rPr>
        <w:t>文件中须签字或盖章）</w:t>
      </w:r>
    </w:p>
    <w:p>
      <w:pPr>
        <w:spacing w:line="360" w:lineRule="auto"/>
        <w:rPr>
          <w:rFonts w:ascii="宋体" w:hAnsi="宋体"/>
          <w:color w:val="auto"/>
          <w:szCs w:val="18"/>
          <w:highlight w:val="white"/>
        </w:rPr>
      </w:pPr>
    </w:p>
    <w:p>
      <w:pPr>
        <w:spacing w:line="360" w:lineRule="auto"/>
        <w:rPr>
          <w:rFonts w:ascii="宋体" w:hAnsi="宋体"/>
          <w:color w:val="auto"/>
          <w:szCs w:val="18"/>
          <w:highlight w:val="white"/>
        </w:rPr>
      </w:pPr>
      <w:r>
        <w:rPr>
          <w:rFonts w:hint="eastAsia" w:ascii="宋体" w:hAnsi="宋体"/>
          <w:color w:val="auto"/>
          <w:szCs w:val="18"/>
          <w:highlight w:val="white"/>
        </w:rPr>
        <w:t xml:space="preserve">日期：                                </w:t>
      </w:r>
    </w:p>
    <w:p>
      <w:pPr>
        <w:spacing w:line="360" w:lineRule="auto"/>
        <w:rPr>
          <w:rFonts w:ascii="宋体" w:hAnsi="宋体"/>
          <w:color w:val="auto"/>
          <w:szCs w:val="18"/>
          <w:highlight w:val="white"/>
        </w:rPr>
      </w:pPr>
    </w:p>
    <w:p>
      <w:pPr>
        <w:spacing w:line="360" w:lineRule="auto"/>
        <w:rPr>
          <w:rFonts w:ascii="宋体" w:hAnsi="宋体"/>
          <w:color w:val="auto"/>
          <w:szCs w:val="18"/>
          <w:highlight w:val="white"/>
        </w:rPr>
      </w:pPr>
      <w:r>
        <w:rPr>
          <w:rFonts w:hint="eastAsia" w:ascii="宋体" w:hAnsi="宋体"/>
          <w:b/>
          <w:bCs/>
          <w:color w:val="auto"/>
          <w:sz w:val="22"/>
          <w:szCs w:val="20"/>
          <w:highlight w:val="white"/>
        </w:rPr>
        <w:t>说明：</w:t>
      </w:r>
      <w:r>
        <w:rPr>
          <w:rFonts w:hint="eastAsia" w:ascii="宋体" w:hAnsi="宋体"/>
          <w:color w:val="auto"/>
          <w:szCs w:val="18"/>
          <w:highlight w:val="white"/>
        </w:rPr>
        <w:t>1. 本表总报价应与申请函总报价一致。</w:t>
      </w:r>
    </w:p>
    <w:p>
      <w:pPr>
        <w:spacing w:before="240" w:after="480" w:line="500" w:lineRule="exact"/>
        <w:rPr>
          <w:rFonts w:ascii="宋体" w:hAnsi="宋体"/>
          <w:color w:val="auto"/>
        </w:rPr>
      </w:pPr>
    </w:p>
    <w:p>
      <w:pPr>
        <w:spacing w:before="240" w:after="480" w:line="500" w:lineRule="exact"/>
        <w:rPr>
          <w:rFonts w:ascii="宋体" w:hAnsi="宋体"/>
          <w:color w:val="auto"/>
        </w:rPr>
      </w:pPr>
    </w:p>
    <w:p>
      <w:pPr>
        <w:pStyle w:val="7"/>
        <w:rPr>
          <w:rFonts w:ascii="宋体" w:hAnsi="宋体"/>
          <w:color w:val="auto"/>
          <w:szCs w:val="21"/>
          <w:highlight w:val="white"/>
        </w:rPr>
      </w:pPr>
      <w:r>
        <w:rPr>
          <w:rFonts w:hint="eastAsia" w:ascii="宋体" w:hAnsi="宋体"/>
          <w:b w:val="0"/>
          <w:color w:val="auto"/>
          <w:sz w:val="21"/>
          <w:szCs w:val="21"/>
          <w:highlight w:val="white"/>
        </w:rPr>
        <w:t>四、</w:t>
      </w:r>
      <w:r>
        <w:rPr>
          <w:rFonts w:ascii="宋体" w:hAnsi="宋体"/>
          <w:b w:val="0"/>
          <w:color w:val="auto"/>
          <w:sz w:val="21"/>
          <w:szCs w:val="21"/>
          <w:highlight w:val="white"/>
        </w:rPr>
        <w:t>投标分项报价表</w:t>
      </w:r>
      <w:r>
        <w:rPr>
          <w:rFonts w:hint="eastAsia" w:ascii="宋体" w:hAnsi="宋体"/>
          <w:b w:val="0"/>
          <w:color w:val="auto"/>
          <w:sz w:val="21"/>
          <w:szCs w:val="21"/>
          <w:highlight w:val="white"/>
        </w:rPr>
        <w:t>（格式）</w:t>
      </w:r>
    </w:p>
    <w:p>
      <w:pPr>
        <w:pStyle w:val="7"/>
        <w:spacing w:before="0" w:after="0" w:line="240" w:lineRule="auto"/>
        <w:jc w:val="center"/>
        <w:rPr>
          <w:color w:val="auto"/>
          <w:sz w:val="24"/>
          <w:szCs w:val="24"/>
        </w:rPr>
      </w:pPr>
      <w:r>
        <w:rPr>
          <w:rFonts w:ascii="宋体" w:hAnsi="宋体"/>
          <w:color w:val="auto"/>
          <w:highlight w:val="white"/>
        </w:rPr>
        <w:t>投标分项报价表</w:t>
      </w:r>
    </w:p>
    <w:tbl>
      <w:tblPr>
        <w:tblStyle w:val="23"/>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471"/>
        <w:gridCol w:w="2913"/>
        <w:gridCol w:w="1691"/>
        <w:gridCol w:w="139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00" w:type="dxa"/>
            <w:noWrap/>
            <w:vAlign w:val="center"/>
          </w:tcPr>
          <w:p>
            <w:pPr>
              <w:widowControl/>
              <w:jc w:val="center"/>
              <w:rPr>
                <w:rFonts w:ascii="宋体" w:hAnsi="宋体"/>
                <w:color w:val="auto"/>
                <w:sz w:val="24"/>
              </w:rPr>
            </w:pPr>
            <w:r>
              <w:rPr>
                <w:rFonts w:hint="eastAsia" w:ascii="宋体" w:hAnsi="宋体"/>
                <w:color w:val="auto"/>
                <w:sz w:val="24"/>
              </w:rPr>
              <w:t>序号</w:t>
            </w:r>
          </w:p>
        </w:tc>
        <w:tc>
          <w:tcPr>
            <w:tcW w:w="1471" w:type="dxa"/>
            <w:noWrap/>
            <w:vAlign w:val="center"/>
          </w:tcPr>
          <w:p>
            <w:pPr>
              <w:widowControl/>
              <w:jc w:val="center"/>
              <w:rPr>
                <w:rFonts w:ascii="宋体" w:hAnsi="宋体"/>
                <w:color w:val="auto"/>
                <w:sz w:val="24"/>
              </w:rPr>
            </w:pPr>
            <w:r>
              <w:rPr>
                <w:rFonts w:hint="eastAsia" w:ascii="宋体" w:hAnsi="宋体"/>
                <w:color w:val="auto"/>
                <w:sz w:val="24"/>
              </w:rPr>
              <w:t>服务名称</w:t>
            </w:r>
          </w:p>
        </w:tc>
        <w:tc>
          <w:tcPr>
            <w:tcW w:w="2913" w:type="dxa"/>
            <w:noWrap/>
            <w:vAlign w:val="center"/>
          </w:tcPr>
          <w:p>
            <w:pPr>
              <w:widowControl/>
              <w:jc w:val="center"/>
              <w:rPr>
                <w:rFonts w:ascii="宋体" w:hAnsi="宋体"/>
                <w:color w:val="auto"/>
                <w:sz w:val="24"/>
              </w:rPr>
            </w:pPr>
            <w:r>
              <w:rPr>
                <w:rFonts w:hint="eastAsia" w:ascii="宋体" w:hAnsi="宋体"/>
                <w:color w:val="auto"/>
                <w:sz w:val="24"/>
              </w:rPr>
              <w:t>服务内容</w:t>
            </w:r>
          </w:p>
        </w:tc>
        <w:tc>
          <w:tcPr>
            <w:tcW w:w="1691" w:type="dxa"/>
            <w:noWrap/>
            <w:vAlign w:val="center"/>
          </w:tcPr>
          <w:p>
            <w:pPr>
              <w:widowControl/>
              <w:jc w:val="center"/>
              <w:rPr>
                <w:rFonts w:ascii="宋体" w:hAnsi="宋体"/>
                <w:color w:val="auto"/>
                <w:sz w:val="24"/>
              </w:rPr>
            </w:pPr>
            <w:r>
              <w:rPr>
                <w:rFonts w:hint="eastAsia" w:ascii="宋体" w:hAnsi="宋体"/>
                <w:color w:val="auto"/>
                <w:sz w:val="24"/>
              </w:rPr>
              <w:t>数量（项）</w:t>
            </w:r>
          </w:p>
        </w:tc>
        <w:tc>
          <w:tcPr>
            <w:tcW w:w="1390" w:type="dxa"/>
            <w:noWrap/>
            <w:vAlign w:val="center"/>
          </w:tcPr>
          <w:p>
            <w:pPr>
              <w:widowControl/>
              <w:jc w:val="center"/>
              <w:rPr>
                <w:rFonts w:ascii="宋体" w:hAnsi="宋体"/>
                <w:color w:val="auto"/>
                <w:sz w:val="24"/>
              </w:rPr>
            </w:pPr>
            <w:r>
              <w:rPr>
                <w:rFonts w:hint="eastAsia" w:ascii="宋体" w:hAnsi="宋体"/>
                <w:color w:val="auto"/>
                <w:sz w:val="24"/>
              </w:rPr>
              <w:t>单价</w:t>
            </w:r>
          </w:p>
          <w:p>
            <w:pPr>
              <w:widowControl/>
              <w:jc w:val="center"/>
              <w:rPr>
                <w:rFonts w:ascii="宋体" w:hAnsi="宋体"/>
                <w:color w:val="auto"/>
                <w:sz w:val="24"/>
              </w:rPr>
            </w:pPr>
            <w:r>
              <w:rPr>
                <w:rFonts w:hint="eastAsia" w:ascii="宋体" w:hAnsi="宋体"/>
                <w:color w:val="auto"/>
                <w:sz w:val="24"/>
              </w:rPr>
              <w:t>（</w:t>
            </w:r>
            <w:r>
              <w:rPr>
                <w:rFonts w:hint="eastAsia" w:ascii="宋体" w:hAnsi="宋体"/>
                <w:color w:val="auto"/>
                <w:sz w:val="28"/>
                <w:szCs w:val="28"/>
              </w:rPr>
              <w:t>元</w:t>
            </w:r>
            <w:r>
              <w:rPr>
                <w:rFonts w:hint="eastAsia" w:ascii="宋体" w:hAnsi="宋体"/>
                <w:color w:val="auto"/>
                <w:sz w:val="24"/>
              </w:rPr>
              <w:t>）</w:t>
            </w:r>
          </w:p>
        </w:tc>
        <w:tc>
          <w:tcPr>
            <w:tcW w:w="1105" w:type="dxa"/>
            <w:noWrap/>
            <w:vAlign w:val="center"/>
          </w:tcPr>
          <w:p>
            <w:pPr>
              <w:widowControl/>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color w:val="auto"/>
                <w:sz w:val="24"/>
              </w:rPr>
            </w:pPr>
            <w:r>
              <w:rPr>
                <w:rFonts w:hint="eastAsia" w:ascii="宋体" w:hAnsi="宋体"/>
                <w:color w:val="auto"/>
                <w:sz w:val="24"/>
              </w:rPr>
              <w:t>1</w:t>
            </w:r>
          </w:p>
        </w:tc>
        <w:tc>
          <w:tcPr>
            <w:tcW w:w="1471" w:type="dxa"/>
            <w:noWrap/>
            <w:vAlign w:val="center"/>
          </w:tcPr>
          <w:p>
            <w:pPr>
              <w:spacing w:line="360" w:lineRule="auto"/>
              <w:rPr>
                <w:rFonts w:ascii="宋体" w:hAnsi="宋体"/>
                <w:color w:val="auto"/>
                <w:sz w:val="24"/>
              </w:rPr>
            </w:pPr>
          </w:p>
        </w:tc>
        <w:tc>
          <w:tcPr>
            <w:tcW w:w="2913" w:type="dxa"/>
            <w:noWrap/>
            <w:vAlign w:val="center"/>
          </w:tcPr>
          <w:p>
            <w:pPr>
              <w:spacing w:line="360" w:lineRule="auto"/>
              <w:rPr>
                <w:rFonts w:ascii="宋体" w:hAnsi="宋体"/>
                <w:color w:val="auto"/>
                <w:sz w:val="24"/>
              </w:rPr>
            </w:pPr>
          </w:p>
        </w:tc>
        <w:tc>
          <w:tcPr>
            <w:tcW w:w="1691" w:type="dxa"/>
            <w:noWrap/>
            <w:vAlign w:val="center"/>
          </w:tcPr>
          <w:p>
            <w:pPr>
              <w:spacing w:line="360" w:lineRule="auto"/>
              <w:rPr>
                <w:rFonts w:ascii="宋体" w:hAnsi="宋体"/>
                <w:color w:val="auto"/>
                <w:sz w:val="24"/>
              </w:rPr>
            </w:pPr>
          </w:p>
        </w:tc>
        <w:tc>
          <w:tcPr>
            <w:tcW w:w="1390" w:type="dxa"/>
            <w:noWrap/>
            <w:vAlign w:val="center"/>
          </w:tcPr>
          <w:p>
            <w:pPr>
              <w:spacing w:line="360" w:lineRule="auto"/>
              <w:rPr>
                <w:rFonts w:ascii="宋体" w:hAnsi="宋体"/>
                <w:color w:val="auto"/>
                <w:sz w:val="24"/>
              </w:rPr>
            </w:pPr>
          </w:p>
        </w:tc>
        <w:tc>
          <w:tcPr>
            <w:tcW w:w="1105" w:type="dxa"/>
            <w:noWrap/>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color w:val="auto"/>
                <w:sz w:val="24"/>
              </w:rPr>
            </w:pPr>
            <w:r>
              <w:rPr>
                <w:rFonts w:hint="eastAsia" w:ascii="宋体" w:hAnsi="宋体"/>
                <w:color w:val="auto"/>
                <w:sz w:val="24"/>
              </w:rPr>
              <w:t>2</w:t>
            </w:r>
          </w:p>
        </w:tc>
        <w:tc>
          <w:tcPr>
            <w:tcW w:w="1471" w:type="dxa"/>
            <w:noWrap/>
            <w:vAlign w:val="center"/>
          </w:tcPr>
          <w:p>
            <w:pPr>
              <w:spacing w:line="360" w:lineRule="auto"/>
              <w:rPr>
                <w:rFonts w:ascii="宋体" w:hAnsi="宋体"/>
                <w:color w:val="auto"/>
                <w:sz w:val="24"/>
              </w:rPr>
            </w:pPr>
          </w:p>
        </w:tc>
        <w:tc>
          <w:tcPr>
            <w:tcW w:w="2913" w:type="dxa"/>
            <w:noWrap/>
            <w:vAlign w:val="center"/>
          </w:tcPr>
          <w:p>
            <w:pPr>
              <w:spacing w:line="360" w:lineRule="auto"/>
              <w:rPr>
                <w:rFonts w:ascii="宋体" w:hAnsi="宋体"/>
                <w:color w:val="auto"/>
                <w:sz w:val="24"/>
              </w:rPr>
            </w:pPr>
          </w:p>
        </w:tc>
        <w:tc>
          <w:tcPr>
            <w:tcW w:w="1691" w:type="dxa"/>
            <w:noWrap/>
            <w:vAlign w:val="center"/>
          </w:tcPr>
          <w:p>
            <w:pPr>
              <w:spacing w:line="360" w:lineRule="auto"/>
              <w:rPr>
                <w:rFonts w:ascii="宋体" w:hAnsi="宋体"/>
                <w:color w:val="auto"/>
                <w:sz w:val="24"/>
              </w:rPr>
            </w:pPr>
          </w:p>
        </w:tc>
        <w:tc>
          <w:tcPr>
            <w:tcW w:w="1390" w:type="dxa"/>
            <w:noWrap/>
            <w:vAlign w:val="center"/>
          </w:tcPr>
          <w:p>
            <w:pPr>
              <w:spacing w:line="360" w:lineRule="auto"/>
              <w:rPr>
                <w:rFonts w:ascii="宋体" w:hAnsi="宋体"/>
                <w:color w:val="auto"/>
                <w:sz w:val="24"/>
              </w:rPr>
            </w:pPr>
          </w:p>
        </w:tc>
        <w:tc>
          <w:tcPr>
            <w:tcW w:w="1105" w:type="dxa"/>
            <w:noWrap/>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color w:val="auto"/>
                <w:sz w:val="24"/>
              </w:rPr>
            </w:pPr>
            <w:r>
              <w:rPr>
                <w:rFonts w:hint="eastAsia" w:ascii="宋体" w:hAnsi="宋体"/>
                <w:color w:val="auto"/>
                <w:sz w:val="24"/>
              </w:rPr>
              <w:t>3</w:t>
            </w:r>
          </w:p>
        </w:tc>
        <w:tc>
          <w:tcPr>
            <w:tcW w:w="1471" w:type="dxa"/>
            <w:noWrap/>
            <w:vAlign w:val="center"/>
          </w:tcPr>
          <w:p>
            <w:pPr>
              <w:spacing w:line="360" w:lineRule="auto"/>
              <w:rPr>
                <w:rFonts w:ascii="宋体" w:hAnsi="宋体"/>
                <w:color w:val="auto"/>
                <w:sz w:val="24"/>
              </w:rPr>
            </w:pPr>
          </w:p>
        </w:tc>
        <w:tc>
          <w:tcPr>
            <w:tcW w:w="2913" w:type="dxa"/>
            <w:noWrap/>
            <w:vAlign w:val="center"/>
          </w:tcPr>
          <w:p>
            <w:pPr>
              <w:spacing w:line="360" w:lineRule="auto"/>
              <w:rPr>
                <w:rFonts w:ascii="宋体" w:hAnsi="宋体"/>
                <w:color w:val="auto"/>
                <w:sz w:val="24"/>
              </w:rPr>
            </w:pPr>
          </w:p>
        </w:tc>
        <w:tc>
          <w:tcPr>
            <w:tcW w:w="1691" w:type="dxa"/>
            <w:noWrap/>
            <w:vAlign w:val="center"/>
          </w:tcPr>
          <w:p>
            <w:pPr>
              <w:spacing w:line="360" w:lineRule="auto"/>
              <w:rPr>
                <w:rFonts w:ascii="宋体" w:hAnsi="宋体"/>
                <w:color w:val="auto"/>
                <w:sz w:val="24"/>
              </w:rPr>
            </w:pPr>
          </w:p>
        </w:tc>
        <w:tc>
          <w:tcPr>
            <w:tcW w:w="1390" w:type="dxa"/>
            <w:noWrap/>
            <w:vAlign w:val="center"/>
          </w:tcPr>
          <w:p>
            <w:pPr>
              <w:spacing w:line="360" w:lineRule="auto"/>
              <w:rPr>
                <w:rFonts w:ascii="宋体" w:hAnsi="宋体"/>
                <w:color w:val="auto"/>
                <w:sz w:val="24"/>
              </w:rPr>
            </w:pPr>
          </w:p>
        </w:tc>
        <w:tc>
          <w:tcPr>
            <w:tcW w:w="1105" w:type="dxa"/>
            <w:noWrap/>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color w:val="auto"/>
                <w:sz w:val="24"/>
              </w:rPr>
            </w:pPr>
            <w:r>
              <w:rPr>
                <w:rFonts w:hint="eastAsia" w:ascii="宋体" w:hAnsi="宋体"/>
                <w:color w:val="auto"/>
                <w:sz w:val="24"/>
              </w:rPr>
              <w:t>……</w:t>
            </w:r>
          </w:p>
        </w:tc>
        <w:tc>
          <w:tcPr>
            <w:tcW w:w="1471" w:type="dxa"/>
            <w:noWrap/>
            <w:vAlign w:val="center"/>
          </w:tcPr>
          <w:p>
            <w:pPr>
              <w:spacing w:line="360" w:lineRule="auto"/>
              <w:rPr>
                <w:rFonts w:ascii="宋体" w:hAnsi="宋体"/>
                <w:color w:val="auto"/>
                <w:sz w:val="24"/>
              </w:rPr>
            </w:pPr>
          </w:p>
        </w:tc>
        <w:tc>
          <w:tcPr>
            <w:tcW w:w="2913" w:type="dxa"/>
            <w:noWrap/>
            <w:vAlign w:val="center"/>
          </w:tcPr>
          <w:p>
            <w:pPr>
              <w:spacing w:line="360" w:lineRule="auto"/>
              <w:rPr>
                <w:rFonts w:ascii="宋体" w:hAnsi="宋体"/>
                <w:color w:val="auto"/>
                <w:sz w:val="24"/>
              </w:rPr>
            </w:pPr>
          </w:p>
        </w:tc>
        <w:tc>
          <w:tcPr>
            <w:tcW w:w="1691" w:type="dxa"/>
            <w:noWrap/>
            <w:vAlign w:val="center"/>
          </w:tcPr>
          <w:p>
            <w:pPr>
              <w:spacing w:line="360" w:lineRule="auto"/>
              <w:rPr>
                <w:rFonts w:ascii="宋体" w:hAnsi="宋体"/>
                <w:color w:val="auto"/>
                <w:sz w:val="24"/>
              </w:rPr>
            </w:pPr>
          </w:p>
        </w:tc>
        <w:tc>
          <w:tcPr>
            <w:tcW w:w="1390" w:type="dxa"/>
            <w:noWrap/>
            <w:vAlign w:val="center"/>
          </w:tcPr>
          <w:p>
            <w:pPr>
              <w:spacing w:line="360" w:lineRule="auto"/>
              <w:rPr>
                <w:rFonts w:ascii="宋体" w:hAnsi="宋体"/>
                <w:color w:val="auto"/>
                <w:sz w:val="24"/>
              </w:rPr>
            </w:pPr>
          </w:p>
        </w:tc>
        <w:tc>
          <w:tcPr>
            <w:tcW w:w="1105" w:type="dxa"/>
            <w:noWrap/>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color w:val="auto"/>
                <w:sz w:val="24"/>
              </w:rPr>
            </w:pPr>
          </w:p>
        </w:tc>
        <w:tc>
          <w:tcPr>
            <w:tcW w:w="1471" w:type="dxa"/>
            <w:noWrap/>
            <w:vAlign w:val="center"/>
          </w:tcPr>
          <w:p>
            <w:pPr>
              <w:spacing w:line="360" w:lineRule="auto"/>
              <w:rPr>
                <w:rFonts w:ascii="宋体" w:hAnsi="宋体"/>
                <w:color w:val="auto"/>
                <w:sz w:val="24"/>
              </w:rPr>
            </w:pPr>
            <w:r>
              <w:rPr>
                <w:rFonts w:hint="eastAsia" w:ascii="宋体" w:hAnsi="宋体"/>
                <w:color w:val="auto"/>
                <w:sz w:val="24"/>
              </w:rPr>
              <w:t>其他费用</w:t>
            </w:r>
          </w:p>
        </w:tc>
        <w:tc>
          <w:tcPr>
            <w:tcW w:w="2913" w:type="dxa"/>
            <w:noWrap/>
            <w:vAlign w:val="center"/>
          </w:tcPr>
          <w:p>
            <w:pPr>
              <w:spacing w:line="360" w:lineRule="auto"/>
              <w:rPr>
                <w:rFonts w:ascii="宋体" w:hAnsi="宋体"/>
                <w:color w:val="auto"/>
                <w:sz w:val="24"/>
              </w:rPr>
            </w:pPr>
          </w:p>
        </w:tc>
        <w:tc>
          <w:tcPr>
            <w:tcW w:w="1691" w:type="dxa"/>
            <w:noWrap/>
            <w:vAlign w:val="center"/>
          </w:tcPr>
          <w:p>
            <w:pPr>
              <w:spacing w:line="360" w:lineRule="auto"/>
              <w:rPr>
                <w:rFonts w:ascii="宋体" w:hAnsi="宋体"/>
                <w:color w:val="auto"/>
                <w:sz w:val="24"/>
              </w:rPr>
            </w:pPr>
          </w:p>
        </w:tc>
        <w:tc>
          <w:tcPr>
            <w:tcW w:w="1390" w:type="dxa"/>
            <w:noWrap/>
            <w:vAlign w:val="center"/>
          </w:tcPr>
          <w:p>
            <w:pPr>
              <w:spacing w:line="360" w:lineRule="auto"/>
              <w:rPr>
                <w:rFonts w:ascii="宋体" w:hAnsi="宋体"/>
                <w:color w:val="auto"/>
                <w:sz w:val="24"/>
              </w:rPr>
            </w:pPr>
          </w:p>
        </w:tc>
        <w:tc>
          <w:tcPr>
            <w:tcW w:w="1105" w:type="dxa"/>
            <w:noWrap/>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ign w:val="center"/>
          </w:tcPr>
          <w:p>
            <w:pPr>
              <w:spacing w:line="360" w:lineRule="auto"/>
              <w:jc w:val="center"/>
              <w:rPr>
                <w:rFonts w:ascii="宋体" w:hAnsi="宋体"/>
                <w:color w:val="auto"/>
                <w:sz w:val="24"/>
              </w:rPr>
            </w:pPr>
          </w:p>
        </w:tc>
        <w:tc>
          <w:tcPr>
            <w:tcW w:w="1471" w:type="dxa"/>
            <w:noWrap/>
            <w:vAlign w:val="center"/>
          </w:tcPr>
          <w:p>
            <w:pPr>
              <w:spacing w:line="360" w:lineRule="auto"/>
              <w:rPr>
                <w:rFonts w:ascii="宋体" w:hAnsi="宋体"/>
                <w:color w:val="auto"/>
                <w:sz w:val="24"/>
              </w:rPr>
            </w:pPr>
          </w:p>
        </w:tc>
        <w:tc>
          <w:tcPr>
            <w:tcW w:w="2913" w:type="dxa"/>
            <w:noWrap/>
            <w:vAlign w:val="center"/>
          </w:tcPr>
          <w:p>
            <w:pPr>
              <w:spacing w:line="360" w:lineRule="auto"/>
              <w:rPr>
                <w:rFonts w:ascii="宋体" w:hAnsi="宋体"/>
                <w:color w:val="auto"/>
                <w:sz w:val="24"/>
              </w:rPr>
            </w:pPr>
          </w:p>
        </w:tc>
        <w:tc>
          <w:tcPr>
            <w:tcW w:w="1691" w:type="dxa"/>
            <w:noWrap/>
            <w:vAlign w:val="center"/>
          </w:tcPr>
          <w:p>
            <w:pPr>
              <w:spacing w:line="360" w:lineRule="auto"/>
              <w:rPr>
                <w:rFonts w:ascii="宋体" w:hAnsi="宋体"/>
                <w:color w:val="auto"/>
                <w:sz w:val="24"/>
              </w:rPr>
            </w:pPr>
          </w:p>
        </w:tc>
        <w:tc>
          <w:tcPr>
            <w:tcW w:w="1390" w:type="dxa"/>
            <w:noWrap/>
            <w:vAlign w:val="center"/>
          </w:tcPr>
          <w:p>
            <w:pPr>
              <w:spacing w:line="360" w:lineRule="auto"/>
              <w:rPr>
                <w:rFonts w:ascii="宋体" w:hAnsi="宋体"/>
                <w:color w:val="auto"/>
                <w:sz w:val="24"/>
              </w:rPr>
            </w:pPr>
          </w:p>
        </w:tc>
        <w:tc>
          <w:tcPr>
            <w:tcW w:w="1105" w:type="dxa"/>
            <w:noWrap/>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1" w:type="dxa"/>
            <w:gridSpan w:val="2"/>
            <w:noWrap/>
            <w:vAlign w:val="center"/>
          </w:tcPr>
          <w:p>
            <w:pPr>
              <w:spacing w:line="360" w:lineRule="auto"/>
              <w:rPr>
                <w:rFonts w:ascii="宋体" w:hAnsi="宋体"/>
                <w:color w:val="auto"/>
                <w:sz w:val="24"/>
              </w:rPr>
            </w:pPr>
            <w:r>
              <w:rPr>
                <w:rFonts w:hint="eastAsia" w:ascii="宋体" w:hAnsi="宋体"/>
                <w:color w:val="auto"/>
                <w:sz w:val="24"/>
              </w:rPr>
              <w:t>报价总计（</w:t>
            </w:r>
            <w:r>
              <w:rPr>
                <w:rFonts w:hint="eastAsia" w:ascii="宋体" w:hAnsi="宋体"/>
                <w:color w:val="auto"/>
                <w:sz w:val="28"/>
                <w:szCs w:val="28"/>
              </w:rPr>
              <w:t>元</w:t>
            </w:r>
            <w:r>
              <w:rPr>
                <w:rFonts w:hint="eastAsia" w:ascii="宋体" w:hAnsi="宋体"/>
                <w:color w:val="auto"/>
                <w:sz w:val="24"/>
              </w:rPr>
              <w:t>）</w:t>
            </w:r>
          </w:p>
        </w:tc>
        <w:tc>
          <w:tcPr>
            <w:tcW w:w="7099" w:type="dxa"/>
            <w:gridSpan w:val="4"/>
            <w:noWrap/>
            <w:vAlign w:val="center"/>
          </w:tcPr>
          <w:p>
            <w:pPr>
              <w:spacing w:line="360" w:lineRule="auto"/>
              <w:rPr>
                <w:rFonts w:ascii="宋体" w:hAnsi="宋体"/>
                <w:color w:val="auto"/>
                <w:sz w:val="24"/>
              </w:rPr>
            </w:pPr>
          </w:p>
        </w:tc>
      </w:tr>
    </w:tbl>
    <w:p>
      <w:pPr>
        <w:spacing w:line="300" w:lineRule="auto"/>
        <w:rPr>
          <w:rFonts w:ascii="宋体" w:hAnsi="宋体"/>
          <w:color w:val="auto"/>
          <w:szCs w:val="21"/>
          <w:highlight w:val="white"/>
        </w:rPr>
      </w:pPr>
    </w:p>
    <w:p>
      <w:pPr>
        <w:spacing w:line="300" w:lineRule="auto"/>
        <w:rPr>
          <w:rFonts w:ascii="宋体" w:hAnsi="宋体"/>
          <w:color w:val="auto"/>
          <w:szCs w:val="21"/>
        </w:rPr>
      </w:pPr>
      <w:r>
        <w:rPr>
          <w:rFonts w:hint="eastAsia" w:ascii="宋体" w:hAnsi="宋体"/>
          <w:color w:val="auto"/>
          <w:szCs w:val="21"/>
          <w:highlight w:val="white"/>
          <w:lang w:eastAsia="zh-CN"/>
        </w:rPr>
        <w:t>磋商供应商：</w:t>
      </w:r>
      <w:r>
        <w:rPr>
          <w:rFonts w:hint="eastAsia" w:ascii="宋体" w:hAnsi="宋体"/>
          <w:color w:val="auto"/>
          <w:szCs w:val="21"/>
          <w:highlight w:val="white"/>
        </w:rPr>
        <w:t>(盖单位公章</w:t>
      </w:r>
      <w:r>
        <w:rPr>
          <w:rFonts w:ascii="宋体" w:hAnsi="宋体"/>
          <w:color w:val="auto"/>
          <w:szCs w:val="21"/>
          <w:highlight w:val="white"/>
        </w:rPr>
        <w:t>)</w:t>
      </w:r>
    </w:p>
    <w:p>
      <w:pPr>
        <w:spacing w:line="300" w:lineRule="auto"/>
        <w:rPr>
          <w:rFonts w:ascii="宋体" w:hAnsi="宋体"/>
          <w:color w:val="auto"/>
          <w:szCs w:val="21"/>
          <w:highlight w:val="white"/>
        </w:rPr>
      </w:pPr>
      <w:r>
        <w:rPr>
          <w:rFonts w:hint="eastAsia" w:ascii="宋体" w:hAnsi="宋体"/>
          <w:color w:val="auto"/>
          <w:szCs w:val="21"/>
          <w:highlight w:val="white"/>
        </w:rPr>
        <w:t>法人代表或授权代表：（纸质</w:t>
      </w:r>
      <w:r>
        <w:rPr>
          <w:rFonts w:hint="eastAsia" w:ascii="宋体" w:hAnsi="宋体"/>
          <w:color w:val="auto"/>
          <w:szCs w:val="21"/>
          <w:highlight w:val="white"/>
          <w:lang w:eastAsia="zh-CN"/>
        </w:rPr>
        <w:t>响应</w:t>
      </w:r>
      <w:r>
        <w:rPr>
          <w:rFonts w:hint="eastAsia" w:ascii="宋体" w:hAnsi="宋体"/>
          <w:color w:val="auto"/>
          <w:szCs w:val="21"/>
          <w:highlight w:val="white"/>
        </w:rPr>
        <w:t>文件中须签字或盖章）</w:t>
      </w:r>
    </w:p>
    <w:p>
      <w:pPr>
        <w:spacing w:line="300" w:lineRule="auto"/>
        <w:rPr>
          <w:rFonts w:ascii="宋体" w:hAnsi="宋体"/>
          <w:color w:val="auto"/>
          <w:szCs w:val="21"/>
          <w:highlight w:val="white"/>
        </w:rPr>
      </w:pPr>
    </w:p>
    <w:p>
      <w:pPr>
        <w:spacing w:line="360" w:lineRule="exact"/>
        <w:rPr>
          <w:rFonts w:ascii="宋体" w:hAnsi="宋体"/>
          <w:color w:val="auto"/>
        </w:rPr>
      </w:pPr>
      <w:r>
        <w:rPr>
          <w:rFonts w:ascii="宋体" w:hAnsi="宋体"/>
          <w:color w:val="auto"/>
          <w:highlight w:val="white"/>
        </w:rPr>
        <w:t>注：1、如果按单价计算的结果与总价不一致，以单价为准修正总价。</w:t>
      </w:r>
      <w:r>
        <w:rPr>
          <w:rFonts w:ascii="宋体" w:hAnsi="宋体"/>
          <w:color w:val="auto"/>
          <w:highlight w:val="white"/>
        </w:rPr>
        <w:br w:type="textWrapping"/>
      </w:r>
      <w:r>
        <w:rPr>
          <w:rFonts w:ascii="宋体" w:hAnsi="宋体"/>
          <w:color w:val="auto"/>
          <w:highlight w:val="white"/>
        </w:rPr>
        <w:t>    2、如果不提供详细分项报价将视为没有实质性响应招标文件。</w:t>
      </w:r>
      <w:r>
        <w:rPr>
          <w:rFonts w:ascii="宋体" w:hAnsi="宋体"/>
          <w:color w:val="auto"/>
          <w:highlight w:val="white"/>
        </w:rPr>
        <w:br w:type="textWrapping"/>
      </w:r>
      <w:r>
        <w:rPr>
          <w:rFonts w:ascii="宋体" w:hAnsi="宋体"/>
          <w:color w:val="auto"/>
          <w:highlight w:val="white"/>
        </w:rPr>
        <w:t>    3、上述单价为综合单价，应包含一切税费。</w:t>
      </w:r>
    </w:p>
    <w:p>
      <w:pPr>
        <w:spacing w:line="360" w:lineRule="exact"/>
        <w:ind w:firstLine="411" w:firstLineChars="196"/>
        <w:rPr>
          <w:rFonts w:ascii="宋体" w:hAnsi="宋体"/>
          <w:color w:val="auto"/>
        </w:rPr>
      </w:pPr>
      <w:r>
        <w:rPr>
          <w:rFonts w:ascii="宋体" w:hAnsi="宋体"/>
          <w:color w:val="auto"/>
          <w:highlight w:val="white"/>
        </w:rPr>
        <w:t>4、</w:t>
      </w:r>
      <w:r>
        <w:rPr>
          <w:rFonts w:hint="eastAsia" w:ascii="宋体" w:hAnsi="宋体"/>
          <w:color w:val="auto"/>
          <w:highlight w:val="white"/>
          <w:lang w:eastAsia="zh-CN"/>
        </w:rPr>
        <w:t>磋商供应商</w:t>
      </w:r>
      <w:r>
        <w:rPr>
          <w:rFonts w:ascii="宋体" w:hAnsi="宋体"/>
          <w:color w:val="auto"/>
          <w:highlight w:val="white"/>
        </w:rPr>
        <w:t>根据项目实际填写，表中单项，项目</w:t>
      </w:r>
      <w:r>
        <w:rPr>
          <w:rFonts w:hint="eastAsia" w:ascii="宋体" w:hAnsi="宋体"/>
          <w:color w:val="auto"/>
          <w:highlight w:val="white"/>
          <w:lang w:eastAsia="zh-CN"/>
        </w:rPr>
        <w:t>采购</w:t>
      </w:r>
      <w:r>
        <w:rPr>
          <w:rFonts w:ascii="宋体" w:hAnsi="宋体"/>
          <w:color w:val="auto"/>
          <w:highlight w:val="white"/>
        </w:rPr>
        <w:t>要求不涉及的可留空或自行调整。</w:t>
      </w:r>
    </w:p>
    <w:p>
      <w:pPr>
        <w:spacing w:line="360" w:lineRule="exact"/>
        <w:ind w:firstLine="411" w:firstLineChars="196"/>
        <w:rPr>
          <w:rFonts w:ascii="宋体" w:hAnsi="宋体"/>
          <w:color w:val="auto"/>
        </w:rPr>
      </w:pPr>
      <w:r>
        <w:rPr>
          <w:rFonts w:ascii="宋体" w:hAnsi="宋体"/>
          <w:color w:val="auto"/>
          <w:highlight w:val="white"/>
        </w:rPr>
        <w:t>5、表格不够可以自行加页；具体配置请投标人填写完全，没有填写完全的则按无此配置评</w:t>
      </w:r>
      <w:r>
        <w:rPr>
          <w:rFonts w:hint="eastAsia" w:ascii="宋体" w:hAnsi="宋体"/>
          <w:color w:val="auto"/>
          <w:highlight w:val="white"/>
          <w:lang w:eastAsia="zh-CN"/>
        </w:rPr>
        <w:t>审</w:t>
      </w:r>
      <w:r>
        <w:rPr>
          <w:rFonts w:ascii="宋体" w:hAnsi="宋体"/>
          <w:color w:val="auto"/>
          <w:highlight w:val="white"/>
        </w:rPr>
        <w:t>。</w:t>
      </w:r>
    </w:p>
    <w:p>
      <w:pPr>
        <w:tabs>
          <w:tab w:val="center" w:pos="4629"/>
        </w:tabs>
        <w:spacing w:before="240" w:after="480" w:line="500" w:lineRule="exact"/>
        <w:jc w:val="center"/>
        <w:rPr>
          <w:rFonts w:ascii="宋体" w:hAnsi="宋体"/>
          <w:b/>
          <w:color w:val="auto"/>
          <w:sz w:val="28"/>
          <w:szCs w:val="28"/>
        </w:rPr>
      </w:pPr>
    </w:p>
    <w:p>
      <w:pPr>
        <w:tabs>
          <w:tab w:val="center" w:pos="4629"/>
        </w:tabs>
        <w:spacing w:before="240" w:after="480" w:line="500" w:lineRule="exact"/>
        <w:jc w:val="center"/>
        <w:rPr>
          <w:rFonts w:ascii="宋体" w:hAnsi="宋体"/>
          <w:b/>
          <w:color w:val="auto"/>
          <w:sz w:val="28"/>
          <w:szCs w:val="28"/>
        </w:rPr>
      </w:pPr>
    </w:p>
    <w:p>
      <w:pPr>
        <w:tabs>
          <w:tab w:val="center" w:pos="4629"/>
        </w:tabs>
        <w:spacing w:before="240" w:after="480" w:line="500" w:lineRule="exact"/>
        <w:jc w:val="center"/>
        <w:rPr>
          <w:rFonts w:ascii="宋体" w:hAnsi="宋体"/>
          <w:b/>
          <w:color w:val="auto"/>
          <w:sz w:val="28"/>
          <w:szCs w:val="28"/>
        </w:rPr>
      </w:pPr>
    </w:p>
    <w:p>
      <w:pPr>
        <w:tabs>
          <w:tab w:val="center" w:pos="4629"/>
        </w:tabs>
        <w:spacing w:before="240" w:after="480" w:line="500" w:lineRule="exact"/>
        <w:jc w:val="center"/>
        <w:rPr>
          <w:rFonts w:ascii="宋体" w:hAnsi="宋体"/>
          <w:b/>
          <w:color w:val="auto"/>
          <w:sz w:val="28"/>
          <w:szCs w:val="28"/>
        </w:rPr>
      </w:pPr>
    </w:p>
    <w:p>
      <w:pPr>
        <w:tabs>
          <w:tab w:val="center" w:pos="4629"/>
        </w:tabs>
        <w:spacing w:before="240" w:after="480" w:line="500" w:lineRule="exact"/>
        <w:jc w:val="center"/>
        <w:rPr>
          <w:rFonts w:ascii="宋体" w:hAnsi="宋体"/>
          <w:b/>
          <w:color w:val="auto"/>
          <w:sz w:val="28"/>
          <w:szCs w:val="28"/>
        </w:rPr>
      </w:pPr>
    </w:p>
    <w:p>
      <w:pPr>
        <w:pStyle w:val="7"/>
        <w:spacing w:before="0" w:after="0" w:line="240" w:lineRule="auto"/>
        <w:rPr>
          <w:rFonts w:ascii="宋体" w:hAnsi="宋体"/>
          <w:color w:val="auto"/>
          <w:szCs w:val="21"/>
          <w:highlight w:val="white"/>
        </w:rPr>
      </w:pPr>
      <w:r>
        <w:rPr>
          <w:rFonts w:hint="eastAsia" w:ascii="宋体" w:hAnsi="宋体"/>
          <w:b w:val="0"/>
          <w:color w:val="auto"/>
          <w:sz w:val="21"/>
          <w:szCs w:val="21"/>
          <w:highlight w:val="white"/>
        </w:rPr>
        <w:t>五、拟任本项目负责人情况一览表</w:t>
      </w:r>
      <w:r>
        <w:rPr>
          <w:rFonts w:ascii="宋体" w:hAnsi="宋体"/>
          <w:b w:val="0"/>
          <w:color w:val="auto"/>
          <w:sz w:val="21"/>
          <w:szCs w:val="21"/>
          <w:highlight w:val="white"/>
        </w:rPr>
        <w:t>（</w:t>
      </w:r>
      <w:r>
        <w:rPr>
          <w:rFonts w:hint="eastAsia" w:ascii="宋体" w:hAnsi="宋体"/>
          <w:b w:val="0"/>
          <w:color w:val="auto"/>
          <w:sz w:val="21"/>
          <w:szCs w:val="21"/>
          <w:highlight w:val="white"/>
        </w:rPr>
        <w:t>如有）</w:t>
      </w:r>
    </w:p>
    <w:p>
      <w:pPr>
        <w:pStyle w:val="7"/>
        <w:jc w:val="center"/>
        <w:rPr>
          <w:rFonts w:ascii="黑体" w:hAnsi="黑体" w:eastAsia="黑体"/>
          <w:color w:val="auto"/>
          <w:highlight w:val="white"/>
        </w:rPr>
      </w:pPr>
      <w:r>
        <w:rPr>
          <w:rFonts w:hint="eastAsia" w:ascii="宋体" w:hAnsi="宋体" w:cs="宋体"/>
          <w:b w:val="0"/>
          <w:color w:val="auto"/>
          <w:highlight w:val="white"/>
        </w:rPr>
        <w:t>拟任本项目负责人情况一览表</w:t>
      </w:r>
    </w:p>
    <w:tbl>
      <w:tblPr>
        <w:tblStyle w:val="23"/>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63"/>
        <w:gridCol w:w="1364"/>
        <w:gridCol w:w="1296"/>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noWrap/>
          </w:tcPr>
          <w:p>
            <w:pPr>
              <w:pStyle w:val="7"/>
              <w:jc w:val="center"/>
              <w:rPr>
                <w:rFonts w:ascii="宋体" w:hAnsi="宋体"/>
                <w:b w:val="0"/>
                <w:color w:val="auto"/>
                <w:sz w:val="21"/>
                <w:szCs w:val="21"/>
                <w:highlight w:val="white"/>
              </w:rPr>
            </w:pPr>
            <w:r>
              <w:rPr>
                <w:rFonts w:hint="eastAsia" w:ascii="宋体" w:hAnsi="宋体"/>
                <w:b w:val="0"/>
                <w:color w:val="auto"/>
                <w:sz w:val="21"/>
                <w:szCs w:val="21"/>
                <w:highlight w:val="white"/>
              </w:rPr>
              <w:t>姓名</w:t>
            </w:r>
          </w:p>
        </w:tc>
        <w:tc>
          <w:tcPr>
            <w:tcW w:w="1063" w:type="dxa"/>
            <w:noWrap/>
          </w:tcPr>
          <w:p>
            <w:pPr>
              <w:pStyle w:val="7"/>
              <w:jc w:val="center"/>
              <w:rPr>
                <w:rFonts w:ascii="宋体" w:hAnsi="宋体"/>
                <w:b w:val="0"/>
                <w:color w:val="auto"/>
                <w:sz w:val="21"/>
                <w:szCs w:val="21"/>
                <w:highlight w:val="white"/>
              </w:rPr>
            </w:pPr>
            <w:r>
              <w:rPr>
                <w:rFonts w:hint="eastAsia" w:ascii="宋体" w:hAnsi="宋体"/>
                <w:b w:val="0"/>
                <w:color w:val="auto"/>
                <w:sz w:val="21"/>
                <w:szCs w:val="21"/>
                <w:highlight w:val="white"/>
              </w:rPr>
              <w:t>年龄</w:t>
            </w:r>
          </w:p>
        </w:tc>
        <w:tc>
          <w:tcPr>
            <w:tcW w:w="1364" w:type="dxa"/>
            <w:noWrap/>
          </w:tcPr>
          <w:p>
            <w:pPr>
              <w:pStyle w:val="7"/>
              <w:jc w:val="center"/>
              <w:rPr>
                <w:rFonts w:ascii="宋体" w:hAnsi="宋体"/>
                <w:b w:val="0"/>
                <w:color w:val="auto"/>
                <w:sz w:val="21"/>
                <w:szCs w:val="21"/>
                <w:highlight w:val="white"/>
              </w:rPr>
            </w:pPr>
            <w:r>
              <w:rPr>
                <w:rFonts w:hint="eastAsia" w:ascii="宋体" w:hAnsi="宋体"/>
                <w:b w:val="0"/>
                <w:color w:val="auto"/>
                <w:sz w:val="21"/>
                <w:szCs w:val="21"/>
                <w:highlight w:val="white"/>
              </w:rPr>
              <w:t>职称及等级</w:t>
            </w:r>
          </w:p>
        </w:tc>
        <w:tc>
          <w:tcPr>
            <w:tcW w:w="1296" w:type="dxa"/>
            <w:noWrap/>
          </w:tcPr>
          <w:p>
            <w:pPr>
              <w:pStyle w:val="7"/>
              <w:jc w:val="center"/>
              <w:rPr>
                <w:rFonts w:ascii="宋体" w:hAnsi="宋体"/>
                <w:b w:val="0"/>
                <w:color w:val="auto"/>
                <w:sz w:val="21"/>
                <w:szCs w:val="21"/>
                <w:highlight w:val="white"/>
              </w:rPr>
            </w:pPr>
            <w:r>
              <w:rPr>
                <w:rFonts w:hint="eastAsia" w:ascii="宋体" w:hAnsi="宋体"/>
                <w:b w:val="0"/>
                <w:color w:val="auto"/>
                <w:sz w:val="21"/>
                <w:szCs w:val="21"/>
                <w:highlight w:val="white"/>
              </w:rPr>
              <w:t>职业资格</w:t>
            </w:r>
          </w:p>
        </w:tc>
        <w:tc>
          <w:tcPr>
            <w:tcW w:w="4775" w:type="dxa"/>
            <w:noWrap/>
          </w:tcPr>
          <w:p>
            <w:pPr>
              <w:pStyle w:val="7"/>
              <w:jc w:val="center"/>
              <w:rPr>
                <w:rFonts w:ascii="宋体" w:hAnsi="宋体"/>
                <w:b w:val="0"/>
                <w:color w:val="auto"/>
                <w:sz w:val="21"/>
                <w:szCs w:val="21"/>
                <w:highlight w:val="white"/>
              </w:rPr>
            </w:pPr>
            <w:r>
              <w:rPr>
                <w:rFonts w:hint="eastAsia" w:ascii="宋体" w:hAnsi="宋体"/>
                <w:b w:val="0"/>
                <w:color w:val="auto"/>
                <w:sz w:val="21"/>
                <w:szCs w:val="21"/>
                <w:highlight w:val="white"/>
              </w:rPr>
              <w:t>从事相关经历（简历）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noWrap/>
          </w:tcPr>
          <w:p>
            <w:pPr>
              <w:pStyle w:val="7"/>
              <w:jc w:val="center"/>
              <w:rPr>
                <w:color w:val="auto"/>
              </w:rPr>
            </w:pPr>
          </w:p>
          <w:p>
            <w:pPr>
              <w:rPr>
                <w:rFonts w:ascii="宋体" w:hAnsi="宋体"/>
                <w:bCs/>
                <w:color w:val="auto"/>
                <w:szCs w:val="21"/>
                <w:highlight w:val="white"/>
              </w:rPr>
            </w:pPr>
          </w:p>
          <w:p>
            <w:pPr>
              <w:rPr>
                <w:rFonts w:ascii="宋体" w:hAnsi="宋体"/>
                <w:bCs/>
                <w:color w:val="auto"/>
                <w:szCs w:val="21"/>
                <w:highlight w:val="white"/>
              </w:rPr>
            </w:pPr>
          </w:p>
          <w:p>
            <w:pPr>
              <w:rPr>
                <w:rFonts w:ascii="宋体" w:hAnsi="宋体"/>
                <w:bCs/>
                <w:color w:val="auto"/>
                <w:szCs w:val="21"/>
                <w:highlight w:val="white"/>
              </w:rPr>
            </w:pPr>
          </w:p>
          <w:p>
            <w:pPr>
              <w:rPr>
                <w:rFonts w:ascii="宋体" w:hAnsi="宋体"/>
                <w:bCs/>
                <w:color w:val="auto"/>
                <w:szCs w:val="21"/>
                <w:highlight w:val="white"/>
              </w:rPr>
            </w:pPr>
          </w:p>
          <w:p>
            <w:pPr>
              <w:rPr>
                <w:rFonts w:ascii="宋体" w:hAnsi="宋体"/>
                <w:bCs/>
                <w:color w:val="auto"/>
                <w:szCs w:val="21"/>
                <w:highlight w:val="white"/>
              </w:rPr>
            </w:pPr>
          </w:p>
          <w:p>
            <w:pPr>
              <w:rPr>
                <w:rFonts w:ascii="宋体" w:hAnsi="宋体"/>
                <w:bCs/>
                <w:color w:val="auto"/>
                <w:szCs w:val="21"/>
                <w:highlight w:val="white"/>
              </w:rPr>
            </w:pPr>
          </w:p>
          <w:p>
            <w:pPr>
              <w:rPr>
                <w:rFonts w:ascii="宋体" w:hAnsi="宋体"/>
                <w:bCs/>
                <w:color w:val="auto"/>
                <w:szCs w:val="21"/>
                <w:highlight w:val="white"/>
              </w:rPr>
            </w:pPr>
          </w:p>
          <w:p>
            <w:pPr>
              <w:rPr>
                <w:rFonts w:ascii="宋体" w:hAnsi="宋体"/>
                <w:bCs/>
                <w:color w:val="auto"/>
                <w:szCs w:val="21"/>
                <w:highlight w:val="white"/>
              </w:rPr>
            </w:pPr>
          </w:p>
          <w:p>
            <w:pPr>
              <w:rPr>
                <w:rFonts w:ascii="宋体" w:hAnsi="宋体"/>
                <w:bCs/>
                <w:color w:val="auto"/>
                <w:szCs w:val="21"/>
                <w:highlight w:val="white"/>
              </w:rPr>
            </w:pPr>
          </w:p>
          <w:p>
            <w:pPr>
              <w:rPr>
                <w:rFonts w:ascii="宋体" w:hAnsi="宋体"/>
                <w:bCs/>
                <w:color w:val="auto"/>
                <w:szCs w:val="21"/>
                <w:highlight w:val="white"/>
              </w:rPr>
            </w:pPr>
          </w:p>
          <w:p>
            <w:pPr>
              <w:rPr>
                <w:rFonts w:ascii="宋体" w:hAnsi="宋体"/>
                <w:bCs/>
                <w:color w:val="auto"/>
                <w:szCs w:val="21"/>
                <w:highlight w:val="white"/>
              </w:rPr>
            </w:pPr>
          </w:p>
        </w:tc>
        <w:tc>
          <w:tcPr>
            <w:tcW w:w="1063" w:type="dxa"/>
            <w:noWrap/>
          </w:tcPr>
          <w:p>
            <w:pPr>
              <w:pStyle w:val="7"/>
              <w:jc w:val="center"/>
              <w:rPr>
                <w:rFonts w:ascii="宋体" w:hAnsi="宋体"/>
                <w:b w:val="0"/>
                <w:color w:val="auto"/>
                <w:sz w:val="21"/>
                <w:szCs w:val="21"/>
                <w:highlight w:val="white"/>
              </w:rPr>
            </w:pPr>
          </w:p>
        </w:tc>
        <w:tc>
          <w:tcPr>
            <w:tcW w:w="1364" w:type="dxa"/>
            <w:noWrap/>
          </w:tcPr>
          <w:p>
            <w:pPr>
              <w:pStyle w:val="7"/>
              <w:jc w:val="center"/>
              <w:rPr>
                <w:rFonts w:ascii="宋体" w:hAnsi="宋体"/>
                <w:b w:val="0"/>
                <w:color w:val="auto"/>
                <w:sz w:val="21"/>
                <w:szCs w:val="21"/>
                <w:highlight w:val="white"/>
              </w:rPr>
            </w:pPr>
          </w:p>
        </w:tc>
        <w:tc>
          <w:tcPr>
            <w:tcW w:w="1296" w:type="dxa"/>
            <w:noWrap/>
          </w:tcPr>
          <w:p>
            <w:pPr>
              <w:pStyle w:val="7"/>
              <w:jc w:val="center"/>
              <w:rPr>
                <w:rFonts w:ascii="宋体" w:hAnsi="宋体"/>
                <w:b w:val="0"/>
                <w:color w:val="auto"/>
                <w:sz w:val="21"/>
                <w:szCs w:val="21"/>
                <w:highlight w:val="white"/>
              </w:rPr>
            </w:pPr>
          </w:p>
        </w:tc>
        <w:tc>
          <w:tcPr>
            <w:tcW w:w="4775" w:type="dxa"/>
            <w:noWrap/>
          </w:tcPr>
          <w:p>
            <w:pPr>
              <w:pStyle w:val="7"/>
              <w:jc w:val="center"/>
              <w:rPr>
                <w:rFonts w:ascii="宋体" w:hAnsi="宋体"/>
                <w:b w:val="0"/>
                <w:color w:val="auto"/>
                <w:sz w:val="21"/>
                <w:szCs w:val="21"/>
                <w:highlight w:val="white"/>
              </w:rPr>
            </w:pPr>
          </w:p>
        </w:tc>
      </w:tr>
    </w:tbl>
    <w:p>
      <w:pPr>
        <w:spacing w:line="300" w:lineRule="auto"/>
        <w:rPr>
          <w:rFonts w:ascii="宋体" w:hAnsi="宋体"/>
          <w:color w:val="auto"/>
          <w:szCs w:val="21"/>
          <w:highlight w:val="white"/>
        </w:rPr>
      </w:pPr>
    </w:p>
    <w:p>
      <w:pPr>
        <w:spacing w:line="300" w:lineRule="auto"/>
        <w:rPr>
          <w:rFonts w:ascii="宋体" w:hAnsi="宋体"/>
          <w:color w:val="auto"/>
          <w:szCs w:val="21"/>
        </w:rPr>
      </w:pPr>
      <w:r>
        <w:rPr>
          <w:rFonts w:hint="eastAsia" w:ascii="宋体" w:hAnsi="宋体"/>
          <w:color w:val="auto"/>
          <w:szCs w:val="21"/>
          <w:highlight w:val="white"/>
          <w:lang w:eastAsia="zh-CN"/>
        </w:rPr>
        <w:t>磋商供应商：</w:t>
      </w:r>
      <w:r>
        <w:rPr>
          <w:rFonts w:hint="eastAsia" w:ascii="宋体" w:hAnsi="宋体"/>
          <w:color w:val="auto"/>
          <w:szCs w:val="21"/>
          <w:highlight w:val="white"/>
        </w:rPr>
        <w:t>(盖单位公章</w:t>
      </w:r>
      <w:r>
        <w:rPr>
          <w:rFonts w:ascii="宋体" w:hAnsi="宋体"/>
          <w:color w:val="auto"/>
          <w:szCs w:val="21"/>
          <w:highlight w:val="white"/>
        </w:rPr>
        <w:t>)</w:t>
      </w:r>
    </w:p>
    <w:p>
      <w:pPr>
        <w:spacing w:line="300" w:lineRule="auto"/>
        <w:rPr>
          <w:rFonts w:ascii="宋体" w:hAnsi="宋体"/>
          <w:color w:val="auto"/>
          <w:szCs w:val="21"/>
          <w:highlight w:val="white"/>
        </w:rPr>
      </w:pPr>
      <w:r>
        <w:rPr>
          <w:rFonts w:hint="eastAsia" w:ascii="宋体" w:hAnsi="宋体"/>
          <w:color w:val="auto"/>
          <w:szCs w:val="21"/>
          <w:highlight w:val="white"/>
        </w:rPr>
        <w:t>法人代表或授权代表：（纸质</w:t>
      </w:r>
      <w:r>
        <w:rPr>
          <w:rFonts w:hint="eastAsia" w:ascii="宋体" w:hAnsi="宋体"/>
          <w:color w:val="auto"/>
          <w:szCs w:val="21"/>
          <w:highlight w:val="white"/>
          <w:lang w:eastAsia="zh-CN"/>
        </w:rPr>
        <w:t>响应</w:t>
      </w:r>
      <w:r>
        <w:rPr>
          <w:rFonts w:hint="eastAsia" w:ascii="宋体" w:hAnsi="宋体"/>
          <w:color w:val="auto"/>
          <w:szCs w:val="21"/>
          <w:highlight w:val="white"/>
        </w:rPr>
        <w:t>文件中须签字或盖章）</w:t>
      </w:r>
    </w:p>
    <w:p>
      <w:pPr>
        <w:spacing w:line="300" w:lineRule="auto"/>
        <w:rPr>
          <w:rFonts w:ascii="宋体" w:hAnsi="宋体"/>
          <w:color w:val="auto"/>
          <w:szCs w:val="21"/>
          <w:highlight w:val="white"/>
        </w:rPr>
      </w:pPr>
    </w:p>
    <w:p>
      <w:pPr>
        <w:spacing w:line="360" w:lineRule="exact"/>
        <w:rPr>
          <w:color w:val="auto"/>
        </w:rPr>
      </w:pPr>
      <w:r>
        <w:rPr>
          <w:rFonts w:ascii="宋体" w:hAnsi="宋体"/>
          <w:b/>
          <w:color w:val="auto"/>
          <w:highlight w:val="white"/>
        </w:rPr>
        <w:t>注：</w:t>
      </w:r>
      <w:r>
        <w:rPr>
          <w:rFonts w:hint="eastAsia" w:ascii="宋体" w:hAnsi="宋体"/>
          <w:b/>
          <w:color w:val="auto"/>
          <w:highlight w:val="white"/>
        </w:rPr>
        <w:t>1</w:t>
      </w:r>
      <w:r>
        <w:rPr>
          <w:rFonts w:ascii="宋体" w:hAnsi="宋体"/>
          <w:b/>
          <w:color w:val="auto"/>
          <w:highlight w:val="white"/>
        </w:rPr>
        <w:t>、</w:t>
      </w:r>
      <w:r>
        <w:rPr>
          <w:rFonts w:hint="eastAsia" w:ascii="宋体" w:hAnsi="宋体"/>
          <w:b/>
          <w:color w:val="auto"/>
          <w:highlight w:val="white"/>
          <w:lang w:eastAsia="zh-CN"/>
        </w:rPr>
        <w:t>磋商供应商</w:t>
      </w:r>
      <w:r>
        <w:rPr>
          <w:rFonts w:ascii="宋体" w:hAnsi="宋体"/>
          <w:b/>
          <w:color w:val="auto"/>
          <w:highlight w:val="white"/>
        </w:rPr>
        <w:t>根据项目实际填写，表中单项，项目招标要求不涉及的可留空或自行调整。</w:t>
      </w:r>
    </w:p>
    <w:p>
      <w:pPr>
        <w:tabs>
          <w:tab w:val="center" w:pos="4629"/>
        </w:tabs>
        <w:spacing w:before="240" w:after="480" w:line="500" w:lineRule="exact"/>
        <w:rPr>
          <w:rFonts w:ascii="宋体" w:hAnsi="宋体"/>
          <w:b/>
          <w:color w:val="auto"/>
          <w:sz w:val="28"/>
          <w:szCs w:val="28"/>
        </w:rPr>
      </w:pPr>
    </w:p>
    <w:p>
      <w:pPr>
        <w:pStyle w:val="2"/>
        <w:ind w:firstLine="606"/>
        <w:rPr>
          <w:rFonts w:ascii="宋体" w:hAnsi="宋体"/>
          <w:b/>
          <w:color w:val="auto"/>
          <w:sz w:val="28"/>
          <w:szCs w:val="28"/>
        </w:rPr>
      </w:pPr>
    </w:p>
    <w:p>
      <w:pPr>
        <w:pStyle w:val="2"/>
        <w:ind w:firstLine="606"/>
        <w:rPr>
          <w:rFonts w:ascii="宋体" w:hAnsi="宋体"/>
          <w:b/>
          <w:color w:val="auto"/>
          <w:sz w:val="28"/>
          <w:szCs w:val="28"/>
        </w:rPr>
      </w:pPr>
    </w:p>
    <w:p>
      <w:pPr>
        <w:pStyle w:val="2"/>
        <w:ind w:firstLine="606"/>
        <w:rPr>
          <w:rFonts w:ascii="宋体" w:hAnsi="宋体"/>
          <w:b/>
          <w:color w:val="auto"/>
          <w:sz w:val="28"/>
          <w:szCs w:val="28"/>
        </w:rPr>
      </w:pPr>
    </w:p>
    <w:p>
      <w:pPr>
        <w:pStyle w:val="2"/>
        <w:ind w:firstLine="606"/>
        <w:rPr>
          <w:rFonts w:ascii="宋体" w:hAnsi="宋体"/>
          <w:b/>
          <w:color w:val="auto"/>
          <w:sz w:val="28"/>
          <w:szCs w:val="28"/>
        </w:rPr>
      </w:pPr>
    </w:p>
    <w:p>
      <w:pPr>
        <w:pStyle w:val="2"/>
        <w:ind w:firstLine="606"/>
        <w:rPr>
          <w:rFonts w:ascii="宋体" w:hAnsi="宋体"/>
          <w:b/>
          <w:color w:val="auto"/>
          <w:sz w:val="28"/>
          <w:szCs w:val="28"/>
        </w:rPr>
      </w:pPr>
    </w:p>
    <w:p>
      <w:pPr>
        <w:pStyle w:val="2"/>
        <w:ind w:firstLine="0" w:firstLineChars="0"/>
        <w:rPr>
          <w:rFonts w:ascii="宋体" w:hAnsi="宋体"/>
          <w:b/>
          <w:color w:val="auto"/>
          <w:sz w:val="28"/>
          <w:szCs w:val="28"/>
        </w:rPr>
      </w:pPr>
    </w:p>
    <w:p>
      <w:pPr>
        <w:rPr>
          <w:rFonts w:ascii="宋体" w:hAnsi="宋体"/>
          <w:bCs/>
          <w:color w:val="auto"/>
          <w:szCs w:val="21"/>
          <w:highlight w:val="white"/>
        </w:rPr>
      </w:pPr>
    </w:p>
    <w:p>
      <w:pPr>
        <w:rPr>
          <w:rFonts w:ascii="宋体" w:hAnsi="宋体"/>
          <w:bCs/>
          <w:color w:val="auto"/>
          <w:szCs w:val="21"/>
          <w:highlight w:val="white"/>
        </w:rPr>
      </w:pPr>
      <w:r>
        <w:rPr>
          <w:rFonts w:hint="eastAsia" w:ascii="宋体" w:hAnsi="宋体"/>
          <w:bCs/>
          <w:color w:val="auto"/>
          <w:szCs w:val="21"/>
          <w:highlight w:val="white"/>
        </w:rPr>
        <w:t>六、本项目专业工种安排表（如有）</w:t>
      </w:r>
    </w:p>
    <w:p>
      <w:pPr>
        <w:jc w:val="center"/>
        <w:rPr>
          <w:rFonts w:ascii="宋体" w:hAnsi="宋体"/>
          <w:color w:val="auto"/>
          <w:szCs w:val="18"/>
        </w:rPr>
      </w:pPr>
    </w:p>
    <w:p>
      <w:pPr>
        <w:spacing w:line="360" w:lineRule="auto"/>
        <w:jc w:val="center"/>
        <w:rPr>
          <w:rFonts w:ascii="宋体" w:hAnsi="宋体"/>
          <w:color w:val="auto"/>
          <w:sz w:val="32"/>
          <w:szCs w:val="32"/>
          <w:highlight w:val="white"/>
        </w:rPr>
      </w:pPr>
      <w:r>
        <w:rPr>
          <w:rFonts w:hint="eastAsia" w:ascii="宋体" w:hAnsi="宋体"/>
          <w:color w:val="auto"/>
          <w:sz w:val="32"/>
          <w:szCs w:val="32"/>
          <w:highlight w:val="white"/>
        </w:rPr>
        <w:t>本项目专业工种安排表</w:t>
      </w:r>
    </w:p>
    <w:tbl>
      <w:tblPr>
        <w:tblStyle w:val="23"/>
        <w:tblW w:w="8532" w:type="dxa"/>
        <w:jc w:val="center"/>
        <w:tblLayout w:type="fixed"/>
        <w:tblCellMar>
          <w:top w:w="0" w:type="dxa"/>
          <w:left w:w="0" w:type="dxa"/>
          <w:bottom w:w="0" w:type="dxa"/>
          <w:right w:w="0" w:type="dxa"/>
        </w:tblCellMar>
      </w:tblPr>
      <w:tblGrid>
        <w:gridCol w:w="2011"/>
        <w:gridCol w:w="2552"/>
        <w:gridCol w:w="1745"/>
        <w:gridCol w:w="2224"/>
      </w:tblGrid>
      <w:tr>
        <w:tblPrEx>
          <w:tblCellMar>
            <w:top w:w="0" w:type="dxa"/>
            <w:left w:w="0" w:type="dxa"/>
            <w:bottom w:w="0" w:type="dxa"/>
            <w:right w:w="0" w:type="dxa"/>
          </w:tblCellMar>
        </w:tblPrEx>
        <w:trPr>
          <w:trHeight w:val="585" w:hRule="atLeast"/>
          <w:jc w:val="center"/>
        </w:trPr>
        <w:tc>
          <w:tcPr>
            <w:tcW w:w="2011"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r>
              <w:rPr>
                <w:rFonts w:hint="eastAsia" w:ascii="宋体" w:hAnsi="宋体"/>
                <w:color w:val="auto"/>
                <w:szCs w:val="21"/>
              </w:rPr>
              <w:t>工种</w:t>
            </w:r>
          </w:p>
        </w:tc>
        <w:tc>
          <w:tcPr>
            <w:tcW w:w="255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r>
              <w:rPr>
                <w:rFonts w:hint="eastAsia" w:ascii="宋体" w:hAnsi="宋体" w:cs="Arial Unicode MS"/>
                <w:color w:val="auto"/>
                <w:szCs w:val="21"/>
              </w:rPr>
              <w:t>要求（条件）</w:t>
            </w:r>
          </w:p>
        </w:tc>
        <w:tc>
          <w:tcPr>
            <w:tcW w:w="174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r>
              <w:rPr>
                <w:rFonts w:hint="eastAsia" w:ascii="宋体" w:hAnsi="宋体"/>
                <w:color w:val="auto"/>
                <w:szCs w:val="21"/>
              </w:rPr>
              <w:t>人数</w:t>
            </w:r>
          </w:p>
        </w:tc>
        <w:tc>
          <w:tcPr>
            <w:tcW w:w="2224" w:type="dxa"/>
            <w:tcBorders>
              <w:top w:val="single" w:color="auto" w:sz="4" w:space="0"/>
              <w:left w:val="nil"/>
              <w:bottom w:val="single" w:color="auto" w:sz="4" w:space="0"/>
              <w:right w:val="single" w:color="auto" w:sz="4" w:space="0"/>
            </w:tcBorders>
            <w:noWrap/>
            <w:vAlign w:val="center"/>
          </w:tcPr>
          <w:p>
            <w:pPr>
              <w:jc w:val="center"/>
              <w:rPr>
                <w:rFonts w:ascii="宋体" w:hAnsi="宋体"/>
                <w:color w:val="auto"/>
                <w:szCs w:val="21"/>
              </w:rPr>
            </w:pPr>
            <w:r>
              <w:rPr>
                <w:rFonts w:hint="eastAsia" w:ascii="宋体" w:hAnsi="宋体"/>
                <w:color w:val="auto"/>
                <w:szCs w:val="21"/>
              </w:rPr>
              <w:t>备注</w:t>
            </w:r>
          </w:p>
        </w:tc>
      </w:tr>
      <w:tr>
        <w:tblPrEx>
          <w:tblCellMar>
            <w:top w:w="0" w:type="dxa"/>
            <w:left w:w="0" w:type="dxa"/>
            <w:bottom w:w="0" w:type="dxa"/>
            <w:right w:w="0" w:type="dxa"/>
          </w:tblCellMar>
        </w:tblPrEx>
        <w:trPr>
          <w:trHeight w:val="555" w:hRule="atLeast"/>
          <w:jc w:val="center"/>
        </w:trPr>
        <w:tc>
          <w:tcPr>
            <w:tcW w:w="2011" w:type="dxa"/>
            <w:vMerge w:val="restart"/>
            <w:tcBorders>
              <w:top w:val="nil"/>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55"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85"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55" w:hRule="atLeast"/>
          <w:jc w:val="center"/>
        </w:trPr>
        <w:tc>
          <w:tcPr>
            <w:tcW w:w="2011" w:type="dxa"/>
            <w:vMerge w:val="restart"/>
            <w:tcBorders>
              <w:top w:val="nil"/>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55"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70" w:hRule="atLeast"/>
          <w:jc w:val="center"/>
        </w:trPr>
        <w:tc>
          <w:tcPr>
            <w:tcW w:w="2011" w:type="dxa"/>
            <w:vMerge w:val="restart"/>
            <w:tcBorders>
              <w:top w:val="nil"/>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70" w:hRule="atLeast"/>
          <w:jc w:val="center"/>
        </w:trPr>
        <w:tc>
          <w:tcPr>
            <w:tcW w:w="2011" w:type="dxa"/>
            <w:vMerge w:val="restart"/>
            <w:tcBorders>
              <w:left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r>
              <w:rPr>
                <w:rFonts w:hint="eastAsia" w:ascii="宋体" w:hAnsi="宋体"/>
                <w:color w:val="auto"/>
                <w:szCs w:val="21"/>
              </w:rPr>
              <w:t>**********</w:t>
            </w: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70" w:hRule="atLeast"/>
          <w:jc w:val="center"/>
        </w:trPr>
        <w:tc>
          <w:tcPr>
            <w:tcW w:w="2011"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r>
        <w:tblPrEx>
          <w:tblCellMar>
            <w:top w:w="0" w:type="dxa"/>
            <w:left w:w="0" w:type="dxa"/>
            <w:bottom w:w="0" w:type="dxa"/>
            <w:right w:w="0" w:type="dxa"/>
          </w:tblCellMar>
        </w:tblPrEx>
        <w:trPr>
          <w:trHeight w:val="570" w:hRule="atLeast"/>
          <w:jc w:val="center"/>
        </w:trPr>
        <w:tc>
          <w:tcPr>
            <w:tcW w:w="2011"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r>
              <w:rPr>
                <w:rFonts w:hint="eastAsia" w:ascii="宋体" w:hAnsi="宋体" w:cs="Arial Unicode MS"/>
                <w:color w:val="auto"/>
                <w:szCs w:val="21"/>
              </w:rPr>
              <w:t>合计</w:t>
            </w:r>
          </w:p>
        </w:tc>
        <w:tc>
          <w:tcPr>
            <w:tcW w:w="255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174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jc w:val="center"/>
              <w:rPr>
                <w:rFonts w:ascii="宋体" w:hAnsi="宋体" w:cs="Arial Unicode MS"/>
                <w:color w:val="auto"/>
                <w:szCs w:val="21"/>
              </w:rPr>
            </w:pPr>
          </w:p>
        </w:tc>
        <w:tc>
          <w:tcPr>
            <w:tcW w:w="2224" w:type="dxa"/>
            <w:tcBorders>
              <w:top w:val="nil"/>
              <w:left w:val="nil"/>
              <w:bottom w:val="single" w:color="auto" w:sz="4" w:space="0"/>
              <w:right w:val="single" w:color="auto" w:sz="4" w:space="0"/>
            </w:tcBorders>
            <w:noWrap/>
          </w:tcPr>
          <w:p>
            <w:pPr>
              <w:jc w:val="center"/>
              <w:rPr>
                <w:rFonts w:ascii="宋体" w:hAnsi="宋体" w:cs="Arial Unicode MS"/>
                <w:color w:val="auto"/>
                <w:szCs w:val="21"/>
              </w:rPr>
            </w:pPr>
          </w:p>
        </w:tc>
      </w:tr>
    </w:tbl>
    <w:p>
      <w:pPr>
        <w:spacing w:line="300" w:lineRule="auto"/>
        <w:rPr>
          <w:rFonts w:ascii="宋体" w:hAnsi="宋体"/>
          <w:color w:val="auto"/>
          <w:szCs w:val="21"/>
        </w:rPr>
      </w:pPr>
      <w:r>
        <w:rPr>
          <w:rFonts w:hint="eastAsia" w:ascii="宋体" w:hAnsi="宋体"/>
          <w:color w:val="auto"/>
          <w:szCs w:val="21"/>
          <w:highlight w:val="white"/>
          <w:lang w:eastAsia="zh-CN"/>
        </w:rPr>
        <w:t>磋商供应商：</w:t>
      </w:r>
      <w:r>
        <w:rPr>
          <w:rFonts w:ascii="宋体" w:hAnsi="宋体"/>
          <w:color w:val="auto"/>
          <w:szCs w:val="21"/>
          <w:highlight w:val="white"/>
        </w:rPr>
        <w:t>(</w:t>
      </w:r>
      <w:r>
        <w:rPr>
          <w:rFonts w:hint="eastAsia" w:ascii="宋体" w:hAnsi="宋体"/>
          <w:color w:val="auto"/>
          <w:szCs w:val="21"/>
          <w:highlight w:val="white"/>
        </w:rPr>
        <w:t>盖单位公章</w:t>
      </w:r>
      <w:r>
        <w:rPr>
          <w:rFonts w:ascii="宋体" w:hAnsi="宋体"/>
          <w:color w:val="auto"/>
          <w:szCs w:val="21"/>
          <w:highlight w:val="white"/>
        </w:rPr>
        <w:t>)</w:t>
      </w:r>
    </w:p>
    <w:p>
      <w:pPr>
        <w:spacing w:line="300" w:lineRule="auto"/>
        <w:rPr>
          <w:rFonts w:ascii="宋体" w:hAnsi="宋体"/>
          <w:color w:val="auto"/>
          <w:szCs w:val="21"/>
          <w:highlight w:val="white"/>
        </w:rPr>
      </w:pPr>
      <w:r>
        <w:rPr>
          <w:rFonts w:hint="eastAsia" w:ascii="宋体" w:hAnsi="宋体"/>
          <w:color w:val="auto"/>
          <w:szCs w:val="21"/>
          <w:highlight w:val="white"/>
        </w:rPr>
        <w:t>法人代表或授权代表：（纸质</w:t>
      </w:r>
      <w:r>
        <w:rPr>
          <w:rFonts w:hint="eastAsia" w:ascii="宋体" w:hAnsi="宋体"/>
          <w:color w:val="auto"/>
          <w:szCs w:val="21"/>
          <w:highlight w:val="white"/>
          <w:lang w:eastAsia="zh-CN"/>
        </w:rPr>
        <w:t>响应</w:t>
      </w:r>
      <w:r>
        <w:rPr>
          <w:rFonts w:hint="eastAsia" w:ascii="宋体" w:hAnsi="宋体"/>
          <w:color w:val="auto"/>
          <w:szCs w:val="21"/>
          <w:highlight w:val="white"/>
        </w:rPr>
        <w:t>文件中须签字或盖章）</w:t>
      </w:r>
    </w:p>
    <w:p>
      <w:pPr>
        <w:spacing w:line="300" w:lineRule="auto"/>
        <w:rPr>
          <w:rFonts w:ascii="宋体" w:hAnsi="宋体"/>
          <w:color w:val="auto"/>
          <w:szCs w:val="21"/>
          <w:highlight w:val="white"/>
        </w:rPr>
      </w:pPr>
    </w:p>
    <w:p>
      <w:pPr>
        <w:spacing w:line="360" w:lineRule="exact"/>
        <w:rPr>
          <w:rFonts w:ascii="宋体" w:hAnsi="宋体"/>
          <w:b/>
          <w:color w:val="auto"/>
          <w:sz w:val="28"/>
          <w:szCs w:val="28"/>
        </w:rPr>
      </w:pPr>
      <w:r>
        <w:rPr>
          <w:rFonts w:ascii="宋体" w:hAnsi="宋体"/>
          <w:b/>
          <w:color w:val="auto"/>
          <w:highlight w:val="white"/>
        </w:rPr>
        <w:t>注：</w:t>
      </w:r>
      <w:r>
        <w:rPr>
          <w:rFonts w:hint="eastAsia" w:ascii="宋体" w:hAnsi="宋体"/>
          <w:b/>
          <w:color w:val="auto"/>
          <w:highlight w:val="white"/>
        </w:rPr>
        <w:t>1</w:t>
      </w:r>
      <w:r>
        <w:rPr>
          <w:rFonts w:ascii="宋体" w:hAnsi="宋体"/>
          <w:b/>
          <w:color w:val="auto"/>
          <w:highlight w:val="white"/>
        </w:rPr>
        <w:t>、</w:t>
      </w:r>
      <w:r>
        <w:rPr>
          <w:rFonts w:hint="eastAsia" w:ascii="宋体" w:hAnsi="宋体"/>
          <w:b/>
          <w:color w:val="auto"/>
          <w:highlight w:val="white"/>
          <w:lang w:eastAsia="zh-CN"/>
        </w:rPr>
        <w:t>磋商供应商</w:t>
      </w:r>
      <w:r>
        <w:rPr>
          <w:rFonts w:ascii="宋体" w:hAnsi="宋体"/>
          <w:b/>
          <w:color w:val="auto"/>
          <w:highlight w:val="white"/>
        </w:rPr>
        <w:t>根据项目实际填写，表中单项，项目</w:t>
      </w:r>
      <w:r>
        <w:rPr>
          <w:rFonts w:hint="eastAsia" w:ascii="宋体" w:hAnsi="宋体"/>
          <w:b/>
          <w:color w:val="auto"/>
          <w:highlight w:val="white"/>
          <w:lang w:eastAsia="zh-CN"/>
        </w:rPr>
        <w:t>采购</w:t>
      </w:r>
      <w:r>
        <w:rPr>
          <w:rFonts w:ascii="宋体" w:hAnsi="宋体"/>
          <w:b/>
          <w:color w:val="auto"/>
          <w:highlight w:val="white"/>
        </w:rPr>
        <w:t>要求不涉及的可留空或自行调整。</w:t>
      </w:r>
    </w:p>
    <w:p>
      <w:pPr>
        <w:pStyle w:val="7"/>
        <w:spacing w:before="0" w:after="0" w:line="240" w:lineRule="auto"/>
        <w:rPr>
          <w:rFonts w:ascii="宋体" w:hAnsi="宋体"/>
          <w:b w:val="0"/>
          <w:color w:val="auto"/>
          <w:sz w:val="21"/>
          <w:szCs w:val="21"/>
        </w:rPr>
      </w:pPr>
      <w:r>
        <w:rPr>
          <w:rFonts w:hint="eastAsia"/>
          <w:b w:val="0"/>
          <w:color w:val="auto"/>
          <w:sz w:val="21"/>
          <w:szCs w:val="21"/>
        </w:rPr>
        <w:t>七、服务要求</w:t>
      </w:r>
      <w:r>
        <w:rPr>
          <w:rFonts w:ascii="宋体" w:hAnsi="宋体"/>
          <w:b w:val="0"/>
          <w:color w:val="auto"/>
          <w:sz w:val="21"/>
          <w:szCs w:val="21"/>
          <w:highlight w:val="white"/>
        </w:rPr>
        <w:t>偏离表</w:t>
      </w:r>
      <w:r>
        <w:rPr>
          <w:rFonts w:hint="eastAsia" w:ascii="宋体" w:hAnsi="宋体"/>
          <w:b w:val="0"/>
          <w:color w:val="auto"/>
          <w:sz w:val="21"/>
          <w:szCs w:val="21"/>
          <w:highlight w:val="white"/>
        </w:rPr>
        <w:t>（格式）</w:t>
      </w:r>
    </w:p>
    <w:p>
      <w:pPr>
        <w:spacing w:line="360" w:lineRule="auto"/>
        <w:jc w:val="center"/>
        <w:rPr>
          <w:rFonts w:ascii="宋体" w:hAnsi="宋体"/>
          <w:color w:val="auto"/>
          <w:sz w:val="36"/>
        </w:rPr>
      </w:pPr>
      <w:r>
        <w:rPr>
          <w:rFonts w:hint="eastAsia" w:ascii="宋体" w:hAnsi="宋体"/>
          <w:color w:val="auto"/>
          <w:sz w:val="32"/>
          <w:szCs w:val="32"/>
          <w:highlight w:val="white"/>
        </w:rPr>
        <w:t>服务要求</w:t>
      </w:r>
      <w:r>
        <w:rPr>
          <w:rFonts w:ascii="宋体" w:hAnsi="宋体"/>
          <w:color w:val="auto"/>
          <w:sz w:val="32"/>
          <w:szCs w:val="32"/>
          <w:highlight w:val="white"/>
        </w:rPr>
        <w:t>偏离表</w:t>
      </w:r>
    </w:p>
    <w:tbl>
      <w:tblPr>
        <w:tblStyle w:val="2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22"/>
        <w:gridCol w:w="2321"/>
        <w:gridCol w:w="2391"/>
        <w:gridCol w:w="1188"/>
        <w:gridCol w:w="5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exact"/>
        </w:trPr>
        <w:tc>
          <w:tcPr>
            <w:tcW w:w="430" w:type="dxa"/>
            <w:noWrap/>
            <w:vAlign w:val="center"/>
          </w:tcPr>
          <w:p>
            <w:pPr>
              <w:jc w:val="center"/>
              <w:rPr>
                <w:rFonts w:ascii="宋体" w:hAnsi="宋体"/>
                <w:color w:val="auto"/>
                <w:szCs w:val="21"/>
              </w:rPr>
            </w:pPr>
            <w:r>
              <w:rPr>
                <w:rFonts w:ascii="宋体" w:hAnsi="宋体"/>
                <w:color w:val="auto"/>
                <w:szCs w:val="21"/>
                <w:highlight w:val="white"/>
              </w:rPr>
              <w:t>序号</w:t>
            </w:r>
          </w:p>
        </w:tc>
        <w:tc>
          <w:tcPr>
            <w:tcW w:w="1622" w:type="dxa"/>
            <w:noWrap/>
            <w:vAlign w:val="center"/>
          </w:tcPr>
          <w:p>
            <w:pPr>
              <w:jc w:val="center"/>
              <w:rPr>
                <w:rFonts w:ascii="宋体" w:hAnsi="宋体"/>
                <w:color w:val="auto"/>
                <w:szCs w:val="21"/>
              </w:rPr>
            </w:pPr>
            <w:r>
              <w:rPr>
                <w:rFonts w:ascii="宋体" w:hAnsi="宋体"/>
                <w:color w:val="auto"/>
                <w:szCs w:val="21"/>
                <w:highlight w:val="white"/>
              </w:rPr>
              <w:t>货物名称</w:t>
            </w:r>
          </w:p>
        </w:tc>
        <w:tc>
          <w:tcPr>
            <w:tcW w:w="2321" w:type="dxa"/>
            <w:noWrap/>
            <w:vAlign w:val="center"/>
          </w:tcPr>
          <w:p>
            <w:pPr>
              <w:jc w:val="center"/>
              <w:rPr>
                <w:rFonts w:ascii="宋体" w:hAnsi="宋体"/>
                <w:color w:val="auto"/>
                <w:szCs w:val="21"/>
              </w:rPr>
            </w:pPr>
            <w:r>
              <w:rPr>
                <w:rFonts w:ascii="宋体" w:hAnsi="宋体"/>
                <w:color w:val="auto"/>
                <w:szCs w:val="21"/>
                <w:highlight w:val="white"/>
              </w:rPr>
              <w:t>招标货物主要参数、技术规格</w:t>
            </w:r>
          </w:p>
        </w:tc>
        <w:tc>
          <w:tcPr>
            <w:tcW w:w="2391" w:type="dxa"/>
            <w:noWrap/>
            <w:vAlign w:val="center"/>
          </w:tcPr>
          <w:p>
            <w:pPr>
              <w:jc w:val="center"/>
              <w:rPr>
                <w:rFonts w:ascii="宋体" w:hAnsi="宋体"/>
                <w:color w:val="auto"/>
                <w:szCs w:val="21"/>
              </w:rPr>
            </w:pPr>
            <w:r>
              <w:rPr>
                <w:rFonts w:ascii="宋体" w:hAnsi="宋体"/>
                <w:color w:val="auto"/>
                <w:szCs w:val="21"/>
                <w:highlight w:val="white"/>
              </w:rPr>
              <w:t>投标货物主要参数、技术规格</w:t>
            </w:r>
          </w:p>
        </w:tc>
        <w:tc>
          <w:tcPr>
            <w:tcW w:w="1188" w:type="dxa"/>
            <w:noWrap/>
            <w:vAlign w:val="center"/>
          </w:tcPr>
          <w:p>
            <w:pPr>
              <w:jc w:val="center"/>
              <w:rPr>
                <w:rFonts w:ascii="宋体" w:hAnsi="宋体"/>
                <w:color w:val="auto"/>
                <w:szCs w:val="21"/>
              </w:rPr>
            </w:pPr>
            <w:r>
              <w:rPr>
                <w:rFonts w:ascii="宋体" w:hAnsi="宋体"/>
                <w:color w:val="auto"/>
                <w:szCs w:val="21"/>
                <w:highlight w:val="white"/>
              </w:rPr>
              <w:t>偏离（正或负）</w:t>
            </w:r>
          </w:p>
        </w:tc>
        <w:tc>
          <w:tcPr>
            <w:tcW w:w="520" w:type="dxa"/>
            <w:noWrap/>
            <w:vAlign w:val="center"/>
          </w:tcPr>
          <w:p>
            <w:pPr>
              <w:jc w:val="center"/>
              <w:rPr>
                <w:rFonts w:ascii="宋体" w:hAnsi="宋体"/>
                <w:color w:val="auto"/>
                <w:szCs w:val="21"/>
              </w:rPr>
            </w:pPr>
            <w:r>
              <w:rPr>
                <w:rFonts w:ascii="宋体" w:hAnsi="宋体"/>
                <w:color w:val="auto"/>
                <w:szCs w:val="21"/>
                <w:highlight w:val="white"/>
              </w:rPr>
              <w:t>说明</w:t>
            </w:r>
          </w:p>
        </w:tc>
        <w:tc>
          <w:tcPr>
            <w:tcW w:w="1559" w:type="dxa"/>
            <w:noWrap/>
            <w:vAlign w:val="center"/>
          </w:tcPr>
          <w:p>
            <w:pPr>
              <w:jc w:val="center"/>
              <w:rPr>
                <w:rFonts w:ascii="宋体" w:hAnsi="宋体"/>
                <w:color w:val="auto"/>
                <w:szCs w:val="21"/>
              </w:rPr>
            </w:pPr>
            <w:r>
              <w:rPr>
                <w:rFonts w:ascii="宋体" w:hAnsi="宋体"/>
                <w:color w:val="auto"/>
                <w:szCs w:val="21"/>
              </w:rPr>
              <w:t>备注</w:t>
            </w:r>
            <w:r>
              <w:rPr>
                <w:rFonts w:hint="eastAsia" w:ascii="宋体" w:hAnsi="宋体"/>
                <w:color w:val="auto"/>
                <w:szCs w:val="21"/>
              </w:rPr>
              <w:t>：</w:t>
            </w:r>
            <w:r>
              <w:rPr>
                <w:rFonts w:ascii="宋体" w:hAnsi="宋体"/>
                <w:color w:val="auto"/>
                <w:szCs w:val="21"/>
              </w:rPr>
              <w:t>相关证明材料在投标文件中的具体位置</w:t>
            </w:r>
            <w:r>
              <w:rPr>
                <w:rFonts w:hint="eastAsia" w:ascii="宋体" w:hAnsi="宋体"/>
                <w:color w:val="auto"/>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vMerge w:val="restart"/>
            <w:noWrap/>
            <w:vAlign w:val="center"/>
          </w:tcPr>
          <w:p>
            <w:pPr>
              <w:spacing w:line="360" w:lineRule="auto"/>
              <w:jc w:val="center"/>
              <w:rPr>
                <w:rFonts w:ascii="宋体" w:hAnsi="宋体"/>
                <w:color w:val="auto"/>
                <w:szCs w:val="21"/>
              </w:rPr>
            </w:pPr>
            <w:r>
              <w:rPr>
                <w:rFonts w:hint="eastAsia" w:ascii="宋体" w:hAnsi="宋体"/>
                <w:color w:val="auto"/>
                <w:szCs w:val="21"/>
              </w:rPr>
              <w:t>1</w:t>
            </w:r>
          </w:p>
        </w:tc>
        <w:tc>
          <w:tcPr>
            <w:tcW w:w="1622" w:type="dxa"/>
            <w:vMerge w:val="restart"/>
            <w:noWrap/>
            <w:vAlign w:val="center"/>
          </w:tcPr>
          <w:p>
            <w:pPr>
              <w:spacing w:line="360" w:lineRule="auto"/>
              <w:jc w:val="center"/>
              <w:rPr>
                <w:rFonts w:ascii="宋体" w:hAnsi="宋体"/>
                <w:color w:val="auto"/>
                <w:szCs w:val="21"/>
              </w:rPr>
            </w:pPr>
          </w:p>
        </w:tc>
        <w:tc>
          <w:tcPr>
            <w:tcW w:w="2321" w:type="dxa"/>
            <w:noWrap/>
            <w:vAlign w:val="center"/>
          </w:tcPr>
          <w:p>
            <w:pPr>
              <w:spacing w:line="360" w:lineRule="auto"/>
              <w:jc w:val="left"/>
              <w:rPr>
                <w:rFonts w:ascii="宋体" w:hAnsi="宋体"/>
                <w:color w:val="auto"/>
                <w:szCs w:val="21"/>
              </w:rPr>
            </w:pPr>
            <w:r>
              <w:rPr>
                <w:rFonts w:hint="eastAsia" w:ascii="宋体" w:hAnsi="宋体"/>
                <w:color w:val="auto"/>
                <w:szCs w:val="21"/>
              </w:rPr>
              <w:t>1、参数一：</w:t>
            </w:r>
          </w:p>
        </w:tc>
        <w:tc>
          <w:tcPr>
            <w:tcW w:w="2391" w:type="dxa"/>
            <w:noWrap/>
            <w:vAlign w:val="center"/>
          </w:tcPr>
          <w:p>
            <w:pPr>
              <w:spacing w:line="360" w:lineRule="auto"/>
              <w:jc w:val="left"/>
              <w:rPr>
                <w:rFonts w:ascii="宋体" w:hAnsi="宋体"/>
                <w:color w:val="auto"/>
                <w:szCs w:val="21"/>
              </w:rPr>
            </w:pPr>
            <w:r>
              <w:rPr>
                <w:rFonts w:hint="eastAsia" w:ascii="宋体" w:hAnsi="宋体"/>
                <w:color w:val="auto"/>
                <w:szCs w:val="21"/>
              </w:rPr>
              <w:t>1、参数一：</w:t>
            </w:r>
          </w:p>
        </w:tc>
        <w:tc>
          <w:tcPr>
            <w:tcW w:w="1188" w:type="dxa"/>
            <w:noWrap/>
            <w:vAlign w:val="center"/>
          </w:tcPr>
          <w:p>
            <w:pPr>
              <w:spacing w:line="360" w:lineRule="auto"/>
              <w:jc w:val="center"/>
              <w:rPr>
                <w:rFonts w:ascii="宋体" w:hAnsi="宋体"/>
                <w:color w:val="auto"/>
                <w:szCs w:val="21"/>
              </w:rPr>
            </w:pPr>
          </w:p>
        </w:tc>
        <w:tc>
          <w:tcPr>
            <w:tcW w:w="520" w:type="dxa"/>
            <w:noWrap/>
            <w:vAlign w:val="center"/>
          </w:tcPr>
          <w:p>
            <w:pPr>
              <w:spacing w:line="360" w:lineRule="auto"/>
              <w:jc w:val="center"/>
              <w:rPr>
                <w:rFonts w:ascii="宋体" w:hAnsi="宋体"/>
                <w:color w:val="auto"/>
                <w:szCs w:val="21"/>
              </w:rPr>
            </w:pPr>
          </w:p>
        </w:tc>
        <w:tc>
          <w:tcPr>
            <w:tcW w:w="1559" w:type="dxa"/>
            <w:noWrap/>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vMerge w:val="continue"/>
            <w:noWrap/>
            <w:vAlign w:val="center"/>
          </w:tcPr>
          <w:p>
            <w:pPr>
              <w:jc w:val="center"/>
              <w:rPr>
                <w:rFonts w:ascii="宋体" w:hAnsi="宋体"/>
                <w:color w:val="auto"/>
                <w:szCs w:val="21"/>
              </w:rPr>
            </w:pPr>
          </w:p>
        </w:tc>
        <w:tc>
          <w:tcPr>
            <w:tcW w:w="1622" w:type="dxa"/>
            <w:vMerge w:val="continue"/>
            <w:noWrap/>
            <w:vAlign w:val="center"/>
          </w:tcPr>
          <w:p>
            <w:pPr>
              <w:jc w:val="center"/>
              <w:rPr>
                <w:rFonts w:ascii="宋体" w:hAnsi="宋体"/>
                <w:color w:val="auto"/>
                <w:szCs w:val="21"/>
              </w:rPr>
            </w:pPr>
          </w:p>
        </w:tc>
        <w:tc>
          <w:tcPr>
            <w:tcW w:w="2321" w:type="dxa"/>
            <w:noWrap/>
            <w:vAlign w:val="center"/>
          </w:tcPr>
          <w:p>
            <w:pPr>
              <w:jc w:val="left"/>
              <w:rPr>
                <w:rFonts w:ascii="宋体" w:hAnsi="宋体"/>
                <w:color w:val="auto"/>
                <w:szCs w:val="21"/>
              </w:rPr>
            </w:pPr>
            <w:r>
              <w:rPr>
                <w:rFonts w:hint="eastAsia" w:ascii="宋体" w:hAnsi="宋体"/>
                <w:color w:val="auto"/>
                <w:szCs w:val="21"/>
              </w:rPr>
              <w:t>2、参数二：</w:t>
            </w:r>
          </w:p>
        </w:tc>
        <w:tc>
          <w:tcPr>
            <w:tcW w:w="2391" w:type="dxa"/>
            <w:noWrap/>
            <w:vAlign w:val="center"/>
          </w:tcPr>
          <w:p>
            <w:pPr>
              <w:jc w:val="left"/>
              <w:rPr>
                <w:rFonts w:ascii="宋体" w:hAnsi="宋体"/>
                <w:color w:val="auto"/>
                <w:szCs w:val="21"/>
              </w:rPr>
            </w:pPr>
            <w:r>
              <w:rPr>
                <w:rFonts w:hint="eastAsia" w:ascii="宋体" w:hAnsi="宋体"/>
                <w:color w:val="auto"/>
                <w:szCs w:val="21"/>
              </w:rPr>
              <w:t>2、参数二</w:t>
            </w:r>
          </w:p>
        </w:tc>
        <w:tc>
          <w:tcPr>
            <w:tcW w:w="1188" w:type="dxa"/>
            <w:noWrap/>
            <w:vAlign w:val="center"/>
          </w:tcPr>
          <w:p>
            <w:pPr>
              <w:jc w:val="center"/>
              <w:rPr>
                <w:rFonts w:ascii="宋体" w:hAnsi="宋体"/>
                <w:color w:val="auto"/>
                <w:szCs w:val="21"/>
              </w:rPr>
            </w:pPr>
          </w:p>
        </w:tc>
        <w:tc>
          <w:tcPr>
            <w:tcW w:w="520" w:type="dxa"/>
            <w:noWrap/>
            <w:vAlign w:val="center"/>
          </w:tcPr>
          <w:p>
            <w:pPr>
              <w:jc w:val="center"/>
              <w:rPr>
                <w:rFonts w:ascii="宋体" w:hAnsi="宋体"/>
                <w:color w:val="auto"/>
                <w:szCs w:val="21"/>
              </w:rPr>
            </w:pPr>
          </w:p>
        </w:tc>
        <w:tc>
          <w:tcPr>
            <w:tcW w:w="1559" w:type="dxa"/>
            <w:noWrap/>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vMerge w:val="continue"/>
            <w:noWrap/>
            <w:vAlign w:val="center"/>
          </w:tcPr>
          <w:p>
            <w:pPr>
              <w:jc w:val="center"/>
              <w:rPr>
                <w:rFonts w:ascii="宋体" w:hAnsi="宋体"/>
                <w:color w:val="auto"/>
                <w:szCs w:val="21"/>
              </w:rPr>
            </w:pPr>
          </w:p>
        </w:tc>
        <w:tc>
          <w:tcPr>
            <w:tcW w:w="1622" w:type="dxa"/>
            <w:vMerge w:val="continue"/>
            <w:noWrap/>
            <w:vAlign w:val="center"/>
          </w:tcPr>
          <w:p>
            <w:pPr>
              <w:jc w:val="center"/>
              <w:rPr>
                <w:rFonts w:ascii="宋体" w:hAnsi="宋体"/>
                <w:color w:val="auto"/>
                <w:szCs w:val="21"/>
              </w:rPr>
            </w:pPr>
          </w:p>
        </w:tc>
        <w:tc>
          <w:tcPr>
            <w:tcW w:w="2321" w:type="dxa"/>
            <w:noWrap/>
            <w:vAlign w:val="center"/>
          </w:tcPr>
          <w:p>
            <w:pPr>
              <w:jc w:val="left"/>
              <w:rPr>
                <w:rFonts w:ascii="宋体" w:hAnsi="宋体"/>
                <w:color w:val="auto"/>
                <w:szCs w:val="21"/>
              </w:rPr>
            </w:pPr>
            <w:r>
              <w:rPr>
                <w:rFonts w:ascii="宋体" w:hAnsi="宋体"/>
                <w:color w:val="auto"/>
                <w:szCs w:val="21"/>
              </w:rPr>
              <w:t>……</w:t>
            </w:r>
          </w:p>
        </w:tc>
        <w:tc>
          <w:tcPr>
            <w:tcW w:w="2391" w:type="dxa"/>
            <w:noWrap/>
            <w:vAlign w:val="center"/>
          </w:tcPr>
          <w:p>
            <w:pPr>
              <w:jc w:val="left"/>
              <w:rPr>
                <w:rFonts w:ascii="宋体" w:hAnsi="宋体"/>
                <w:color w:val="auto"/>
                <w:szCs w:val="21"/>
              </w:rPr>
            </w:pPr>
            <w:r>
              <w:rPr>
                <w:rFonts w:ascii="宋体" w:hAnsi="宋体"/>
                <w:color w:val="auto"/>
                <w:szCs w:val="21"/>
              </w:rPr>
              <w:t>……</w:t>
            </w:r>
          </w:p>
        </w:tc>
        <w:tc>
          <w:tcPr>
            <w:tcW w:w="1188" w:type="dxa"/>
            <w:noWrap/>
            <w:vAlign w:val="center"/>
          </w:tcPr>
          <w:p>
            <w:pPr>
              <w:jc w:val="center"/>
              <w:rPr>
                <w:rFonts w:ascii="宋体" w:hAnsi="宋体"/>
                <w:color w:val="auto"/>
                <w:szCs w:val="21"/>
              </w:rPr>
            </w:pPr>
          </w:p>
        </w:tc>
        <w:tc>
          <w:tcPr>
            <w:tcW w:w="520" w:type="dxa"/>
            <w:noWrap/>
            <w:vAlign w:val="center"/>
          </w:tcPr>
          <w:p>
            <w:pPr>
              <w:jc w:val="center"/>
              <w:rPr>
                <w:rFonts w:ascii="宋体" w:hAnsi="宋体"/>
                <w:color w:val="auto"/>
                <w:szCs w:val="21"/>
              </w:rPr>
            </w:pPr>
          </w:p>
        </w:tc>
        <w:tc>
          <w:tcPr>
            <w:tcW w:w="1559" w:type="dxa"/>
            <w:noWrap/>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vMerge w:val="restart"/>
            <w:noWrap/>
            <w:vAlign w:val="center"/>
          </w:tcPr>
          <w:p>
            <w:pPr>
              <w:jc w:val="center"/>
              <w:rPr>
                <w:rFonts w:ascii="宋体" w:hAnsi="宋体"/>
                <w:color w:val="auto"/>
                <w:szCs w:val="21"/>
              </w:rPr>
            </w:pPr>
            <w:r>
              <w:rPr>
                <w:rFonts w:hint="eastAsia" w:ascii="宋体" w:hAnsi="宋体"/>
                <w:color w:val="auto"/>
                <w:szCs w:val="21"/>
              </w:rPr>
              <w:t>2</w:t>
            </w:r>
          </w:p>
        </w:tc>
        <w:tc>
          <w:tcPr>
            <w:tcW w:w="1622" w:type="dxa"/>
            <w:vMerge w:val="restart"/>
            <w:noWrap/>
            <w:vAlign w:val="center"/>
          </w:tcPr>
          <w:p>
            <w:pPr>
              <w:jc w:val="center"/>
              <w:rPr>
                <w:rFonts w:ascii="宋体" w:hAnsi="宋体"/>
                <w:color w:val="auto"/>
                <w:szCs w:val="21"/>
              </w:rPr>
            </w:pPr>
          </w:p>
        </w:tc>
        <w:tc>
          <w:tcPr>
            <w:tcW w:w="2321" w:type="dxa"/>
            <w:noWrap/>
            <w:vAlign w:val="center"/>
          </w:tcPr>
          <w:p>
            <w:pPr>
              <w:jc w:val="left"/>
              <w:rPr>
                <w:rFonts w:ascii="宋体" w:hAnsi="宋体"/>
                <w:color w:val="auto"/>
                <w:szCs w:val="21"/>
              </w:rPr>
            </w:pPr>
            <w:r>
              <w:rPr>
                <w:rFonts w:hint="eastAsia" w:ascii="宋体" w:hAnsi="宋体"/>
                <w:color w:val="auto"/>
                <w:szCs w:val="21"/>
              </w:rPr>
              <w:t>1、参数一：</w:t>
            </w:r>
          </w:p>
        </w:tc>
        <w:tc>
          <w:tcPr>
            <w:tcW w:w="2391" w:type="dxa"/>
            <w:noWrap/>
            <w:vAlign w:val="center"/>
          </w:tcPr>
          <w:p>
            <w:pPr>
              <w:jc w:val="left"/>
              <w:rPr>
                <w:rFonts w:ascii="宋体" w:hAnsi="宋体"/>
                <w:color w:val="auto"/>
                <w:szCs w:val="21"/>
              </w:rPr>
            </w:pPr>
            <w:r>
              <w:rPr>
                <w:rFonts w:hint="eastAsia" w:ascii="宋体" w:hAnsi="宋体"/>
                <w:color w:val="auto"/>
                <w:szCs w:val="21"/>
              </w:rPr>
              <w:t>1、参数一：</w:t>
            </w:r>
          </w:p>
        </w:tc>
        <w:tc>
          <w:tcPr>
            <w:tcW w:w="1188" w:type="dxa"/>
            <w:noWrap/>
            <w:vAlign w:val="center"/>
          </w:tcPr>
          <w:p>
            <w:pPr>
              <w:jc w:val="center"/>
              <w:rPr>
                <w:rFonts w:ascii="宋体" w:hAnsi="宋体"/>
                <w:color w:val="auto"/>
                <w:szCs w:val="21"/>
              </w:rPr>
            </w:pPr>
          </w:p>
        </w:tc>
        <w:tc>
          <w:tcPr>
            <w:tcW w:w="520" w:type="dxa"/>
            <w:noWrap/>
            <w:vAlign w:val="center"/>
          </w:tcPr>
          <w:p>
            <w:pPr>
              <w:jc w:val="center"/>
              <w:rPr>
                <w:rFonts w:ascii="宋体" w:hAnsi="宋体"/>
                <w:color w:val="auto"/>
                <w:szCs w:val="21"/>
              </w:rPr>
            </w:pPr>
          </w:p>
        </w:tc>
        <w:tc>
          <w:tcPr>
            <w:tcW w:w="1559" w:type="dxa"/>
            <w:noWrap/>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vMerge w:val="continue"/>
            <w:noWrap/>
            <w:vAlign w:val="center"/>
          </w:tcPr>
          <w:p>
            <w:pPr>
              <w:jc w:val="center"/>
              <w:rPr>
                <w:rFonts w:ascii="宋体" w:hAnsi="宋体"/>
                <w:color w:val="auto"/>
                <w:szCs w:val="21"/>
              </w:rPr>
            </w:pPr>
          </w:p>
        </w:tc>
        <w:tc>
          <w:tcPr>
            <w:tcW w:w="1622" w:type="dxa"/>
            <w:vMerge w:val="continue"/>
            <w:noWrap/>
            <w:vAlign w:val="center"/>
          </w:tcPr>
          <w:p>
            <w:pPr>
              <w:jc w:val="center"/>
              <w:rPr>
                <w:rFonts w:ascii="宋体" w:hAnsi="宋体"/>
                <w:color w:val="auto"/>
                <w:szCs w:val="21"/>
              </w:rPr>
            </w:pPr>
          </w:p>
        </w:tc>
        <w:tc>
          <w:tcPr>
            <w:tcW w:w="2321" w:type="dxa"/>
            <w:noWrap/>
            <w:vAlign w:val="center"/>
          </w:tcPr>
          <w:p>
            <w:pPr>
              <w:jc w:val="left"/>
              <w:rPr>
                <w:rFonts w:ascii="宋体" w:hAnsi="宋体"/>
                <w:color w:val="auto"/>
                <w:szCs w:val="21"/>
              </w:rPr>
            </w:pPr>
            <w:r>
              <w:rPr>
                <w:rFonts w:hint="eastAsia" w:ascii="宋体" w:hAnsi="宋体"/>
                <w:color w:val="auto"/>
                <w:szCs w:val="21"/>
              </w:rPr>
              <w:t>2、参数二</w:t>
            </w:r>
          </w:p>
        </w:tc>
        <w:tc>
          <w:tcPr>
            <w:tcW w:w="2391" w:type="dxa"/>
            <w:noWrap/>
            <w:vAlign w:val="center"/>
          </w:tcPr>
          <w:p>
            <w:pPr>
              <w:jc w:val="left"/>
              <w:rPr>
                <w:rFonts w:ascii="宋体" w:hAnsi="宋体"/>
                <w:color w:val="auto"/>
                <w:szCs w:val="21"/>
              </w:rPr>
            </w:pPr>
            <w:r>
              <w:rPr>
                <w:rFonts w:hint="eastAsia" w:ascii="宋体" w:hAnsi="宋体"/>
                <w:color w:val="auto"/>
                <w:szCs w:val="21"/>
              </w:rPr>
              <w:t>2、参数二</w:t>
            </w:r>
          </w:p>
        </w:tc>
        <w:tc>
          <w:tcPr>
            <w:tcW w:w="1188" w:type="dxa"/>
            <w:noWrap/>
            <w:vAlign w:val="center"/>
          </w:tcPr>
          <w:p>
            <w:pPr>
              <w:jc w:val="center"/>
              <w:rPr>
                <w:rFonts w:ascii="宋体" w:hAnsi="宋体"/>
                <w:color w:val="auto"/>
                <w:szCs w:val="21"/>
              </w:rPr>
            </w:pPr>
          </w:p>
        </w:tc>
        <w:tc>
          <w:tcPr>
            <w:tcW w:w="520" w:type="dxa"/>
            <w:noWrap/>
            <w:vAlign w:val="center"/>
          </w:tcPr>
          <w:p>
            <w:pPr>
              <w:jc w:val="center"/>
              <w:rPr>
                <w:rFonts w:ascii="宋体" w:hAnsi="宋体"/>
                <w:color w:val="auto"/>
                <w:szCs w:val="21"/>
              </w:rPr>
            </w:pPr>
          </w:p>
        </w:tc>
        <w:tc>
          <w:tcPr>
            <w:tcW w:w="1559" w:type="dxa"/>
            <w:noWrap/>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vMerge w:val="continue"/>
            <w:noWrap/>
            <w:vAlign w:val="center"/>
          </w:tcPr>
          <w:p>
            <w:pPr>
              <w:jc w:val="center"/>
              <w:rPr>
                <w:rFonts w:ascii="宋体" w:hAnsi="宋体"/>
                <w:color w:val="auto"/>
                <w:szCs w:val="21"/>
              </w:rPr>
            </w:pPr>
          </w:p>
        </w:tc>
        <w:tc>
          <w:tcPr>
            <w:tcW w:w="1622" w:type="dxa"/>
            <w:vMerge w:val="continue"/>
            <w:noWrap/>
            <w:vAlign w:val="center"/>
          </w:tcPr>
          <w:p>
            <w:pPr>
              <w:jc w:val="center"/>
              <w:rPr>
                <w:rFonts w:ascii="宋体" w:hAnsi="宋体"/>
                <w:color w:val="auto"/>
                <w:szCs w:val="21"/>
              </w:rPr>
            </w:pPr>
          </w:p>
        </w:tc>
        <w:tc>
          <w:tcPr>
            <w:tcW w:w="2321" w:type="dxa"/>
            <w:noWrap/>
            <w:vAlign w:val="center"/>
          </w:tcPr>
          <w:p>
            <w:pPr>
              <w:jc w:val="left"/>
              <w:rPr>
                <w:rFonts w:ascii="宋体" w:hAnsi="宋体"/>
                <w:color w:val="auto"/>
                <w:szCs w:val="21"/>
              </w:rPr>
            </w:pPr>
            <w:r>
              <w:rPr>
                <w:rFonts w:ascii="宋体" w:hAnsi="宋体"/>
                <w:color w:val="auto"/>
                <w:szCs w:val="21"/>
              </w:rPr>
              <w:t>……</w:t>
            </w:r>
          </w:p>
        </w:tc>
        <w:tc>
          <w:tcPr>
            <w:tcW w:w="2391" w:type="dxa"/>
            <w:noWrap/>
            <w:vAlign w:val="center"/>
          </w:tcPr>
          <w:p>
            <w:pPr>
              <w:jc w:val="left"/>
              <w:rPr>
                <w:rFonts w:ascii="宋体" w:hAnsi="宋体"/>
                <w:color w:val="auto"/>
                <w:szCs w:val="21"/>
              </w:rPr>
            </w:pPr>
            <w:r>
              <w:rPr>
                <w:rFonts w:ascii="宋体" w:hAnsi="宋体"/>
                <w:color w:val="auto"/>
                <w:szCs w:val="21"/>
              </w:rPr>
              <w:t>……</w:t>
            </w:r>
          </w:p>
        </w:tc>
        <w:tc>
          <w:tcPr>
            <w:tcW w:w="1188" w:type="dxa"/>
            <w:noWrap/>
            <w:vAlign w:val="center"/>
          </w:tcPr>
          <w:p>
            <w:pPr>
              <w:jc w:val="center"/>
              <w:rPr>
                <w:rFonts w:ascii="宋体" w:hAnsi="宋体"/>
                <w:color w:val="auto"/>
                <w:szCs w:val="21"/>
              </w:rPr>
            </w:pPr>
          </w:p>
        </w:tc>
        <w:tc>
          <w:tcPr>
            <w:tcW w:w="520" w:type="dxa"/>
            <w:noWrap/>
            <w:vAlign w:val="center"/>
          </w:tcPr>
          <w:p>
            <w:pPr>
              <w:jc w:val="center"/>
              <w:rPr>
                <w:rFonts w:ascii="宋体" w:hAnsi="宋体"/>
                <w:color w:val="auto"/>
                <w:szCs w:val="21"/>
              </w:rPr>
            </w:pPr>
          </w:p>
        </w:tc>
        <w:tc>
          <w:tcPr>
            <w:tcW w:w="1559" w:type="dxa"/>
            <w:noWrap/>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30" w:type="dxa"/>
            <w:noWrap/>
            <w:vAlign w:val="center"/>
          </w:tcPr>
          <w:p>
            <w:pPr>
              <w:jc w:val="center"/>
              <w:rPr>
                <w:rFonts w:ascii="宋体" w:hAnsi="宋体"/>
                <w:color w:val="auto"/>
                <w:szCs w:val="21"/>
              </w:rPr>
            </w:pPr>
            <w:r>
              <w:rPr>
                <w:rFonts w:ascii="宋体" w:hAnsi="宋体"/>
                <w:color w:val="auto"/>
                <w:szCs w:val="21"/>
              </w:rPr>
              <w:t>…</w:t>
            </w:r>
          </w:p>
        </w:tc>
        <w:tc>
          <w:tcPr>
            <w:tcW w:w="1622" w:type="dxa"/>
            <w:noWrap/>
            <w:vAlign w:val="center"/>
          </w:tcPr>
          <w:p>
            <w:pPr>
              <w:jc w:val="center"/>
              <w:rPr>
                <w:rFonts w:ascii="宋体" w:hAnsi="宋体"/>
                <w:color w:val="auto"/>
                <w:szCs w:val="21"/>
              </w:rPr>
            </w:pPr>
          </w:p>
        </w:tc>
        <w:tc>
          <w:tcPr>
            <w:tcW w:w="2321" w:type="dxa"/>
            <w:noWrap/>
            <w:vAlign w:val="center"/>
          </w:tcPr>
          <w:p>
            <w:pPr>
              <w:jc w:val="center"/>
              <w:rPr>
                <w:rFonts w:ascii="宋体" w:hAnsi="宋体"/>
                <w:color w:val="auto"/>
                <w:szCs w:val="21"/>
              </w:rPr>
            </w:pPr>
          </w:p>
        </w:tc>
        <w:tc>
          <w:tcPr>
            <w:tcW w:w="2391" w:type="dxa"/>
            <w:noWrap/>
            <w:vAlign w:val="center"/>
          </w:tcPr>
          <w:p>
            <w:pPr>
              <w:jc w:val="center"/>
              <w:rPr>
                <w:rFonts w:ascii="宋体" w:hAnsi="宋体"/>
                <w:color w:val="auto"/>
                <w:szCs w:val="21"/>
              </w:rPr>
            </w:pPr>
          </w:p>
        </w:tc>
        <w:tc>
          <w:tcPr>
            <w:tcW w:w="1188" w:type="dxa"/>
            <w:noWrap/>
            <w:vAlign w:val="center"/>
          </w:tcPr>
          <w:p>
            <w:pPr>
              <w:jc w:val="center"/>
              <w:rPr>
                <w:rFonts w:ascii="宋体" w:hAnsi="宋体"/>
                <w:color w:val="auto"/>
                <w:szCs w:val="21"/>
              </w:rPr>
            </w:pPr>
          </w:p>
        </w:tc>
        <w:tc>
          <w:tcPr>
            <w:tcW w:w="520" w:type="dxa"/>
            <w:noWrap/>
            <w:vAlign w:val="center"/>
          </w:tcPr>
          <w:p>
            <w:pPr>
              <w:jc w:val="center"/>
              <w:rPr>
                <w:rFonts w:ascii="宋体" w:hAnsi="宋体"/>
                <w:color w:val="auto"/>
                <w:szCs w:val="21"/>
              </w:rPr>
            </w:pPr>
          </w:p>
        </w:tc>
        <w:tc>
          <w:tcPr>
            <w:tcW w:w="1559" w:type="dxa"/>
            <w:noWrap/>
            <w:vAlign w:val="center"/>
          </w:tcPr>
          <w:p>
            <w:pPr>
              <w:jc w:val="center"/>
              <w:rPr>
                <w:rFonts w:ascii="宋体" w:hAnsi="宋体"/>
                <w:color w:val="auto"/>
                <w:szCs w:val="21"/>
              </w:rPr>
            </w:pPr>
          </w:p>
        </w:tc>
      </w:tr>
    </w:tbl>
    <w:p>
      <w:pPr>
        <w:spacing w:line="300" w:lineRule="auto"/>
        <w:rPr>
          <w:rFonts w:ascii="宋体" w:hAnsi="宋体"/>
          <w:color w:val="auto"/>
        </w:rPr>
      </w:pPr>
    </w:p>
    <w:p>
      <w:pPr>
        <w:spacing w:line="300" w:lineRule="auto"/>
        <w:rPr>
          <w:rFonts w:ascii="宋体" w:hAnsi="宋体"/>
          <w:color w:val="auto"/>
          <w:szCs w:val="21"/>
        </w:rPr>
      </w:pPr>
      <w:r>
        <w:rPr>
          <w:rFonts w:hint="eastAsia" w:ascii="宋体" w:hAnsi="宋体"/>
          <w:color w:val="auto"/>
          <w:szCs w:val="21"/>
          <w:highlight w:val="white"/>
          <w:lang w:eastAsia="zh-CN"/>
        </w:rPr>
        <w:t>磋商供应商：</w:t>
      </w:r>
      <w:r>
        <w:rPr>
          <w:rFonts w:ascii="宋体" w:hAnsi="宋体"/>
          <w:color w:val="auto"/>
          <w:szCs w:val="21"/>
          <w:highlight w:val="white"/>
        </w:rPr>
        <w:t>(</w:t>
      </w:r>
      <w:r>
        <w:rPr>
          <w:rFonts w:hint="eastAsia" w:ascii="宋体" w:hAnsi="宋体"/>
          <w:color w:val="auto"/>
          <w:szCs w:val="21"/>
          <w:highlight w:val="white"/>
        </w:rPr>
        <w:t>盖单位公章</w:t>
      </w:r>
      <w:r>
        <w:rPr>
          <w:rFonts w:ascii="宋体" w:hAnsi="宋体"/>
          <w:color w:val="auto"/>
          <w:szCs w:val="21"/>
          <w:highlight w:val="white"/>
        </w:rPr>
        <w:t>)</w:t>
      </w:r>
    </w:p>
    <w:p>
      <w:pPr>
        <w:spacing w:line="300" w:lineRule="auto"/>
        <w:rPr>
          <w:rFonts w:ascii="宋体" w:hAnsi="宋体"/>
          <w:color w:val="auto"/>
          <w:szCs w:val="21"/>
          <w:highlight w:val="white"/>
        </w:rPr>
      </w:pPr>
      <w:r>
        <w:rPr>
          <w:rFonts w:hint="eastAsia" w:ascii="宋体" w:hAnsi="宋体"/>
          <w:color w:val="auto"/>
          <w:szCs w:val="21"/>
          <w:highlight w:val="white"/>
        </w:rPr>
        <w:t>法人代表或授权代表：（纸质</w:t>
      </w:r>
      <w:r>
        <w:rPr>
          <w:rFonts w:hint="eastAsia" w:ascii="宋体" w:hAnsi="宋体"/>
          <w:color w:val="auto"/>
          <w:szCs w:val="21"/>
          <w:highlight w:val="white"/>
          <w:lang w:eastAsia="zh-CN"/>
        </w:rPr>
        <w:t>响应</w:t>
      </w:r>
      <w:r>
        <w:rPr>
          <w:rFonts w:hint="eastAsia" w:ascii="宋体" w:hAnsi="宋体"/>
          <w:color w:val="auto"/>
          <w:szCs w:val="21"/>
          <w:highlight w:val="white"/>
        </w:rPr>
        <w:t>文件中须签字或盖章）</w:t>
      </w:r>
    </w:p>
    <w:p>
      <w:pPr>
        <w:spacing w:line="300" w:lineRule="auto"/>
        <w:rPr>
          <w:rFonts w:ascii="宋体" w:hAnsi="宋体"/>
          <w:color w:val="auto"/>
        </w:rPr>
      </w:pPr>
    </w:p>
    <w:p>
      <w:pPr>
        <w:spacing w:line="360" w:lineRule="exact"/>
        <w:rPr>
          <w:rFonts w:ascii="宋体" w:hAnsi="宋体"/>
          <w:color w:val="auto"/>
        </w:rPr>
      </w:pPr>
      <w:r>
        <w:rPr>
          <w:rFonts w:ascii="宋体" w:hAnsi="宋体"/>
          <w:color w:val="auto"/>
          <w:highlight w:val="white"/>
        </w:rPr>
        <w:t>注：</w:t>
      </w:r>
      <w:r>
        <w:rPr>
          <w:rFonts w:hint="eastAsia" w:ascii="宋体" w:hAnsi="宋体"/>
          <w:color w:val="auto"/>
          <w:highlight w:val="white"/>
          <w:lang w:val="en-US" w:eastAsia="zh-CN"/>
        </w:rPr>
        <w:t>1、</w:t>
      </w:r>
      <w:r>
        <w:rPr>
          <w:rFonts w:hint="eastAsia" w:ascii="宋体" w:hAnsi="宋体"/>
          <w:color w:val="auto"/>
          <w:szCs w:val="21"/>
          <w:highlight w:val="white"/>
          <w:lang w:eastAsia="zh-CN"/>
        </w:rPr>
        <w:t>磋商供应商</w:t>
      </w:r>
      <w:r>
        <w:rPr>
          <w:rFonts w:ascii="宋体" w:hAnsi="宋体"/>
          <w:color w:val="auto"/>
          <w:highlight w:val="white"/>
        </w:rPr>
        <w:t>根据项目实际填写，表中单项，项目招标要求不涉及的可留空或自行调整。</w:t>
      </w:r>
    </w:p>
    <w:p>
      <w:pPr>
        <w:pStyle w:val="7"/>
        <w:rPr>
          <w:rFonts w:ascii="宋体" w:hAnsi="宋体"/>
          <w:b w:val="0"/>
          <w:color w:val="auto"/>
          <w:sz w:val="21"/>
          <w:szCs w:val="21"/>
          <w:highlight w:val="white"/>
        </w:rPr>
      </w:pPr>
    </w:p>
    <w:p>
      <w:pPr>
        <w:pStyle w:val="7"/>
        <w:rPr>
          <w:rFonts w:ascii="宋体" w:hAnsi="宋体"/>
          <w:b w:val="0"/>
          <w:color w:val="auto"/>
          <w:sz w:val="21"/>
          <w:szCs w:val="21"/>
          <w:highlight w:val="white"/>
        </w:rPr>
      </w:pPr>
    </w:p>
    <w:p>
      <w:pPr>
        <w:rPr>
          <w:color w:val="auto"/>
        </w:rPr>
      </w:pPr>
    </w:p>
    <w:p>
      <w:pPr>
        <w:rPr>
          <w:rFonts w:ascii="宋体" w:hAnsi="宋体"/>
          <w:color w:val="auto"/>
          <w:szCs w:val="21"/>
          <w:highlight w:val="white"/>
        </w:rPr>
      </w:pPr>
    </w:p>
    <w:p>
      <w:pPr>
        <w:rPr>
          <w:rFonts w:ascii="宋体" w:hAnsi="宋体"/>
          <w:color w:val="auto"/>
          <w:szCs w:val="21"/>
          <w:highlight w:val="white"/>
        </w:rPr>
      </w:pPr>
    </w:p>
    <w:p>
      <w:pPr>
        <w:pStyle w:val="7"/>
        <w:rPr>
          <w:rFonts w:ascii="宋体" w:hAnsi="宋体"/>
          <w:b w:val="0"/>
          <w:color w:val="auto"/>
          <w:sz w:val="21"/>
          <w:szCs w:val="21"/>
          <w:highlight w:val="white"/>
        </w:rPr>
      </w:pPr>
    </w:p>
    <w:p>
      <w:pPr>
        <w:rPr>
          <w:color w:val="auto"/>
        </w:rPr>
      </w:pPr>
    </w:p>
    <w:p>
      <w:pPr>
        <w:rPr>
          <w:color w:val="auto"/>
        </w:rPr>
      </w:pPr>
    </w:p>
    <w:p>
      <w:pPr>
        <w:rPr>
          <w:color w:val="auto"/>
        </w:rPr>
      </w:pPr>
    </w:p>
    <w:p>
      <w:pPr>
        <w:tabs>
          <w:tab w:val="center" w:pos="4629"/>
        </w:tabs>
        <w:spacing w:before="240" w:after="480" w:line="500" w:lineRule="exact"/>
        <w:rPr>
          <w:rFonts w:ascii="宋体" w:hAnsi="宋体"/>
          <w:b/>
          <w:color w:val="auto"/>
          <w:sz w:val="28"/>
          <w:szCs w:val="28"/>
        </w:rPr>
      </w:pPr>
    </w:p>
    <w:p>
      <w:pPr>
        <w:pStyle w:val="2"/>
      </w:pPr>
    </w:p>
    <w:p>
      <w:pPr>
        <w:pStyle w:val="2"/>
        <w:ind w:firstLine="480"/>
        <w:rPr>
          <w:color w:val="auto"/>
        </w:rPr>
      </w:pPr>
    </w:p>
    <w:p>
      <w:pPr>
        <w:tabs>
          <w:tab w:val="center" w:pos="4629"/>
        </w:tabs>
        <w:rPr>
          <w:rFonts w:ascii="宋体" w:hAnsi="宋体" w:cs="TT0Bo00"/>
          <w:color w:val="auto"/>
          <w:kern w:val="0"/>
          <w:sz w:val="28"/>
          <w:szCs w:val="28"/>
        </w:rPr>
      </w:pPr>
      <w:r>
        <w:rPr>
          <w:rFonts w:hint="eastAsia" w:ascii="宋体" w:hAnsi="宋体"/>
          <w:b/>
          <w:color w:val="auto"/>
          <w:sz w:val="28"/>
          <w:szCs w:val="28"/>
        </w:rPr>
        <w:t>八、磋商供应商业绩汇总表</w:t>
      </w:r>
    </w:p>
    <w:tbl>
      <w:tblPr>
        <w:tblStyle w:val="23"/>
        <w:tblW w:w="90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3001"/>
        <w:gridCol w:w="2340"/>
        <w:gridCol w:w="162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99" w:type="dxa"/>
            <w:vAlign w:val="center"/>
          </w:tcPr>
          <w:p>
            <w:pPr>
              <w:jc w:val="center"/>
              <w:rPr>
                <w:rFonts w:ascii="宋体" w:hAnsi="宋体"/>
                <w:color w:val="auto"/>
                <w:szCs w:val="21"/>
                <w:highlight w:val="white"/>
              </w:rPr>
            </w:pPr>
            <w:r>
              <w:rPr>
                <w:rFonts w:hint="eastAsia" w:ascii="宋体" w:hAnsi="宋体"/>
                <w:color w:val="auto"/>
                <w:szCs w:val="21"/>
                <w:highlight w:val="white"/>
              </w:rPr>
              <w:t>序号</w:t>
            </w:r>
          </w:p>
        </w:tc>
        <w:tc>
          <w:tcPr>
            <w:tcW w:w="3001" w:type="dxa"/>
            <w:vAlign w:val="center"/>
          </w:tcPr>
          <w:p>
            <w:pPr>
              <w:jc w:val="center"/>
              <w:rPr>
                <w:rFonts w:ascii="宋体" w:hAnsi="宋体"/>
                <w:color w:val="auto"/>
                <w:szCs w:val="21"/>
                <w:highlight w:val="white"/>
              </w:rPr>
            </w:pPr>
            <w:r>
              <w:rPr>
                <w:rFonts w:hint="eastAsia" w:ascii="宋体" w:hAnsi="宋体"/>
                <w:color w:val="auto"/>
                <w:szCs w:val="21"/>
                <w:highlight w:val="white"/>
              </w:rPr>
              <w:t>项目名称</w:t>
            </w:r>
          </w:p>
        </w:tc>
        <w:tc>
          <w:tcPr>
            <w:tcW w:w="2340" w:type="dxa"/>
            <w:vAlign w:val="center"/>
          </w:tcPr>
          <w:p>
            <w:pPr>
              <w:jc w:val="center"/>
              <w:rPr>
                <w:rFonts w:ascii="宋体" w:hAnsi="宋体"/>
                <w:color w:val="auto"/>
                <w:szCs w:val="21"/>
                <w:highlight w:val="white"/>
              </w:rPr>
            </w:pPr>
            <w:r>
              <w:rPr>
                <w:rFonts w:hint="eastAsia" w:ascii="宋体" w:hAnsi="宋体"/>
                <w:color w:val="auto"/>
                <w:szCs w:val="21"/>
                <w:highlight w:val="white"/>
              </w:rPr>
              <w:t>委托单位</w:t>
            </w:r>
          </w:p>
        </w:tc>
        <w:tc>
          <w:tcPr>
            <w:tcW w:w="1620" w:type="dxa"/>
            <w:vAlign w:val="center"/>
          </w:tcPr>
          <w:p>
            <w:pPr>
              <w:jc w:val="center"/>
              <w:rPr>
                <w:rFonts w:ascii="宋体" w:hAnsi="宋体"/>
                <w:color w:val="auto"/>
                <w:szCs w:val="21"/>
                <w:highlight w:val="white"/>
              </w:rPr>
            </w:pPr>
            <w:r>
              <w:rPr>
                <w:rFonts w:hint="eastAsia" w:ascii="宋体" w:hAnsi="宋体"/>
                <w:color w:val="auto"/>
                <w:szCs w:val="21"/>
                <w:highlight w:val="white"/>
              </w:rPr>
              <w:t>委托内容</w:t>
            </w:r>
          </w:p>
        </w:tc>
        <w:tc>
          <w:tcPr>
            <w:tcW w:w="1515" w:type="dxa"/>
            <w:vAlign w:val="center"/>
          </w:tcPr>
          <w:p>
            <w:pPr>
              <w:jc w:val="center"/>
              <w:rPr>
                <w:rFonts w:ascii="宋体" w:hAnsi="宋体"/>
                <w:color w:val="auto"/>
                <w:szCs w:val="21"/>
                <w:highlight w:val="white"/>
              </w:rPr>
            </w:pPr>
            <w:r>
              <w:rPr>
                <w:rFonts w:hint="eastAsia" w:ascii="宋体" w:hAnsi="宋体"/>
                <w:color w:val="auto"/>
                <w:szCs w:val="21"/>
                <w:highlight w:val="white"/>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color w:val="auto"/>
                <w:szCs w:val="21"/>
                <w:highlight w:val="white"/>
              </w:rPr>
            </w:pPr>
          </w:p>
        </w:tc>
        <w:tc>
          <w:tcPr>
            <w:tcW w:w="3001" w:type="dxa"/>
            <w:vAlign w:val="center"/>
          </w:tcPr>
          <w:p>
            <w:pPr>
              <w:jc w:val="center"/>
              <w:rPr>
                <w:rFonts w:ascii="宋体" w:hAnsi="宋体"/>
                <w:color w:val="auto"/>
                <w:szCs w:val="21"/>
                <w:highlight w:val="white"/>
              </w:rPr>
            </w:pPr>
          </w:p>
        </w:tc>
        <w:tc>
          <w:tcPr>
            <w:tcW w:w="2340" w:type="dxa"/>
            <w:vAlign w:val="center"/>
          </w:tcPr>
          <w:p>
            <w:pPr>
              <w:jc w:val="center"/>
              <w:rPr>
                <w:rFonts w:ascii="宋体" w:hAnsi="宋体"/>
                <w:color w:val="auto"/>
                <w:szCs w:val="21"/>
                <w:highlight w:val="white"/>
              </w:rPr>
            </w:pPr>
          </w:p>
        </w:tc>
        <w:tc>
          <w:tcPr>
            <w:tcW w:w="1620" w:type="dxa"/>
            <w:vAlign w:val="center"/>
          </w:tcPr>
          <w:p>
            <w:pPr>
              <w:jc w:val="center"/>
              <w:rPr>
                <w:rFonts w:ascii="宋体" w:hAnsi="宋体"/>
                <w:color w:val="auto"/>
                <w:szCs w:val="21"/>
                <w:highlight w:val="white"/>
              </w:rPr>
            </w:pPr>
          </w:p>
        </w:tc>
        <w:tc>
          <w:tcPr>
            <w:tcW w:w="1515" w:type="dxa"/>
            <w:vAlign w:val="center"/>
          </w:tcPr>
          <w:p>
            <w:pPr>
              <w:jc w:val="center"/>
              <w:rPr>
                <w:rFonts w:ascii="宋体" w:hAnsi="宋体"/>
                <w:color w:val="auto"/>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color w:val="auto"/>
                <w:szCs w:val="21"/>
                <w:highlight w:val="white"/>
              </w:rPr>
            </w:pPr>
          </w:p>
        </w:tc>
        <w:tc>
          <w:tcPr>
            <w:tcW w:w="3001" w:type="dxa"/>
            <w:vAlign w:val="center"/>
          </w:tcPr>
          <w:p>
            <w:pPr>
              <w:jc w:val="center"/>
              <w:rPr>
                <w:rFonts w:ascii="宋体" w:hAnsi="宋体"/>
                <w:color w:val="auto"/>
                <w:szCs w:val="21"/>
                <w:highlight w:val="white"/>
              </w:rPr>
            </w:pPr>
          </w:p>
        </w:tc>
        <w:tc>
          <w:tcPr>
            <w:tcW w:w="2340" w:type="dxa"/>
            <w:vAlign w:val="center"/>
          </w:tcPr>
          <w:p>
            <w:pPr>
              <w:jc w:val="center"/>
              <w:rPr>
                <w:rFonts w:ascii="宋体" w:hAnsi="宋体"/>
                <w:color w:val="auto"/>
                <w:szCs w:val="21"/>
                <w:highlight w:val="white"/>
              </w:rPr>
            </w:pPr>
          </w:p>
        </w:tc>
        <w:tc>
          <w:tcPr>
            <w:tcW w:w="1620" w:type="dxa"/>
            <w:vAlign w:val="center"/>
          </w:tcPr>
          <w:p>
            <w:pPr>
              <w:jc w:val="center"/>
              <w:rPr>
                <w:rFonts w:ascii="宋体" w:hAnsi="宋体"/>
                <w:color w:val="auto"/>
                <w:szCs w:val="21"/>
                <w:highlight w:val="white"/>
              </w:rPr>
            </w:pPr>
          </w:p>
        </w:tc>
        <w:tc>
          <w:tcPr>
            <w:tcW w:w="1515" w:type="dxa"/>
            <w:vAlign w:val="center"/>
          </w:tcPr>
          <w:p>
            <w:pPr>
              <w:jc w:val="center"/>
              <w:rPr>
                <w:rFonts w:ascii="宋体" w:hAnsi="宋体"/>
                <w:color w:val="auto"/>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color w:val="auto"/>
                <w:szCs w:val="21"/>
                <w:highlight w:val="white"/>
              </w:rPr>
            </w:pPr>
          </w:p>
        </w:tc>
        <w:tc>
          <w:tcPr>
            <w:tcW w:w="3001" w:type="dxa"/>
            <w:vAlign w:val="center"/>
          </w:tcPr>
          <w:p>
            <w:pPr>
              <w:jc w:val="center"/>
              <w:rPr>
                <w:rFonts w:ascii="宋体" w:hAnsi="宋体"/>
                <w:color w:val="auto"/>
                <w:szCs w:val="21"/>
                <w:highlight w:val="white"/>
              </w:rPr>
            </w:pPr>
          </w:p>
        </w:tc>
        <w:tc>
          <w:tcPr>
            <w:tcW w:w="2340" w:type="dxa"/>
            <w:vAlign w:val="center"/>
          </w:tcPr>
          <w:p>
            <w:pPr>
              <w:jc w:val="center"/>
              <w:rPr>
                <w:rFonts w:ascii="宋体" w:hAnsi="宋体"/>
                <w:color w:val="auto"/>
                <w:szCs w:val="21"/>
                <w:highlight w:val="white"/>
              </w:rPr>
            </w:pPr>
          </w:p>
        </w:tc>
        <w:tc>
          <w:tcPr>
            <w:tcW w:w="1620" w:type="dxa"/>
            <w:vAlign w:val="center"/>
          </w:tcPr>
          <w:p>
            <w:pPr>
              <w:jc w:val="center"/>
              <w:rPr>
                <w:rFonts w:ascii="宋体" w:hAnsi="宋体"/>
                <w:color w:val="auto"/>
                <w:szCs w:val="21"/>
                <w:highlight w:val="white"/>
              </w:rPr>
            </w:pPr>
          </w:p>
        </w:tc>
        <w:tc>
          <w:tcPr>
            <w:tcW w:w="1515" w:type="dxa"/>
            <w:vAlign w:val="center"/>
          </w:tcPr>
          <w:p>
            <w:pPr>
              <w:jc w:val="center"/>
              <w:rPr>
                <w:rFonts w:ascii="宋体" w:hAnsi="宋体"/>
                <w:color w:val="auto"/>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color w:val="auto"/>
                <w:szCs w:val="21"/>
                <w:highlight w:val="white"/>
              </w:rPr>
            </w:pPr>
          </w:p>
        </w:tc>
        <w:tc>
          <w:tcPr>
            <w:tcW w:w="3001" w:type="dxa"/>
            <w:vAlign w:val="center"/>
          </w:tcPr>
          <w:p>
            <w:pPr>
              <w:jc w:val="center"/>
              <w:rPr>
                <w:rFonts w:ascii="宋体" w:hAnsi="宋体"/>
                <w:color w:val="auto"/>
                <w:szCs w:val="21"/>
                <w:highlight w:val="white"/>
              </w:rPr>
            </w:pPr>
          </w:p>
        </w:tc>
        <w:tc>
          <w:tcPr>
            <w:tcW w:w="2340" w:type="dxa"/>
            <w:vAlign w:val="center"/>
          </w:tcPr>
          <w:p>
            <w:pPr>
              <w:jc w:val="center"/>
              <w:rPr>
                <w:rFonts w:ascii="宋体" w:hAnsi="宋体"/>
                <w:color w:val="auto"/>
                <w:szCs w:val="21"/>
                <w:highlight w:val="white"/>
              </w:rPr>
            </w:pPr>
          </w:p>
        </w:tc>
        <w:tc>
          <w:tcPr>
            <w:tcW w:w="1620" w:type="dxa"/>
            <w:vAlign w:val="center"/>
          </w:tcPr>
          <w:p>
            <w:pPr>
              <w:jc w:val="center"/>
              <w:rPr>
                <w:rFonts w:ascii="宋体" w:hAnsi="宋体"/>
                <w:color w:val="auto"/>
                <w:szCs w:val="21"/>
                <w:highlight w:val="white"/>
              </w:rPr>
            </w:pPr>
          </w:p>
        </w:tc>
        <w:tc>
          <w:tcPr>
            <w:tcW w:w="1515" w:type="dxa"/>
            <w:vAlign w:val="center"/>
          </w:tcPr>
          <w:p>
            <w:pPr>
              <w:jc w:val="center"/>
              <w:rPr>
                <w:rFonts w:ascii="宋体" w:hAnsi="宋体"/>
                <w:color w:val="auto"/>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color w:val="auto"/>
                <w:szCs w:val="21"/>
                <w:highlight w:val="white"/>
              </w:rPr>
            </w:pPr>
          </w:p>
        </w:tc>
        <w:tc>
          <w:tcPr>
            <w:tcW w:w="3001" w:type="dxa"/>
            <w:vAlign w:val="center"/>
          </w:tcPr>
          <w:p>
            <w:pPr>
              <w:jc w:val="center"/>
              <w:rPr>
                <w:rFonts w:ascii="宋体" w:hAnsi="宋体"/>
                <w:color w:val="auto"/>
                <w:szCs w:val="21"/>
                <w:highlight w:val="white"/>
              </w:rPr>
            </w:pPr>
          </w:p>
        </w:tc>
        <w:tc>
          <w:tcPr>
            <w:tcW w:w="2340" w:type="dxa"/>
            <w:vAlign w:val="center"/>
          </w:tcPr>
          <w:p>
            <w:pPr>
              <w:jc w:val="center"/>
              <w:rPr>
                <w:rFonts w:ascii="宋体" w:hAnsi="宋体"/>
                <w:color w:val="auto"/>
                <w:szCs w:val="21"/>
                <w:highlight w:val="white"/>
              </w:rPr>
            </w:pPr>
          </w:p>
        </w:tc>
        <w:tc>
          <w:tcPr>
            <w:tcW w:w="1620" w:type="dxa"/>
            <w:vAlign w:val="center"/>
          </w:tcPr>
          <w:p>
            <w:pPr>
              <w:jc w:val="center"/>
              <w:rPr>
                <w:rFonts w:ascii="宋体" w:hAnsi="宋体"/>
                <w:color w:val="auto"/>
                <w:szCs w:val="21"/>
                <w:highlight w:val="white"/>
              </w:rPr>
            </w:pPr>
          </w:p>
        </w:tc>
        <w:tc>
          <w:tcPr>
            <w:tcW w:w="1515" w:type="dxa"/>
            <w:vAlign w:val="center"/>
          </w:tcPr>
          <w:p>
            <w:pPr>
              <w:jc w:val="center"/>
              <w:rPr>
                <w:rFonts w:ascii="宋体" w:hAnsi="宋体"/>
                <w:color w:val="auto"/>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color w:val="auto"/>
                <w:szCs w:val="21"/>
                <w:highlight w:val="white"/>
              </w:rPr>
            </w:pPr>
          </w:p>
        </w:tc>
        <w:tc>
          <w:tcPr>
            <w:tcW w:w="3001" w:type="dxa"/>
            <w:vAlign w:val="center"/>
          </w:tcPr>
          <w:p>
            <w:pPr>
              <w:jc w:val="center"/>
              <w:rPr>
                <w:rFonts w:ascii="宋体" w:hAnsi="宋体"/>
                <w:color w:val="auto"/>
                <w:szCs w:val="21"/>
                <w:highlight w:val="white"/>
              </w:rPr>
            </w:pPr>
          </w:p>
        </w:tc>
        <w:tc>
          <w:tcPr>
            <w:tcW w:w="2340" w:type="dxa"/>
            <w:vAlign w:val="center"/>
          </w:tcPr>
          <w:p>
            <w:pPr>
              <w:jc w:val="center"/>
              <w:rPr>
                <w:rFonts w:ascii="宋体" w:hAnsi="宋体"/>
                <w:color w:val="auto"/>
                <w:szCs w:val="21"/>
                <w:highlight w:val="white"/>
              </w:rPr>
            </w:pPr>
          </w:p>
        </w:tc>
        <w:tc>
          <w:tcPr>
            <w:tcW w:w="1620" w:type="dxa"/>
            <w:vAlign w:val="center"/>
          </w:tcPr>
          <w:p>
            <w:pPr>
              <w:jc w:val="center"/>
              <w:rPr>
                <w:rFonts w:ascii="宋体" w:hAnsi="宋体"/>
                <w:color w:val="auto"/>
                <w:szCs w:val="21"/>
                <w:highlight w:val="white"/>
              </w:rPr>
            </w:pPr>
          </w:p>
        </w:tc>
        <w:tc>
          <w:tcPr>
            <w:tcW w:w="1515" w:type="dxa"/>
            <w:vAlign w:val="center"/>
          </w:tcPr>
          <w:p>
            <w:pPr>
              <w:jc w:val="center"/>
              <w:rPr>
                <w:rFonts w:ascii="宋体" w:hAnsi="宋体"/>
                <w:color w:val="auto"/>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color w:val="auto"/>
                <w:szCs w:val="21"/>
                <w:highlight w:val="white"/>
              </w:rPr>
            </w:pPr>
          </w:p>
        </w:tc>
        <w:tc>
          <w:tcPr>
            <w:tcW w:w="3001" w:type="dxa"/>
            <w:vAlign w:val="center"/>
          </w:tcPr>
          <w:p>
            <w:pPr>
              <w:jc w:val="center"/>
              <w:rPr>
                <w:rFonts w:ascii="宋体" w:hAnsi="宋体"/>
                <w:color w:val="auto"/>
                <w:szCs w:val="21"/>
                <w:highlight w:val="white"/>
              </w:rPr>
            </w:pPr>
          </w:p>
        </w:tc>
        <w:tc>
          <w:tcPr>
            <w:tcW w:w="2340" w:type="dxa"/>
            <w:vAlign w:val="center"/>
          </w:tcPr>
          <w:p>
            <w:pPr>
              <w:jc w:val="center"/>
              <w:rPr>
                <w:rFonts w:ascii="宋体" w:hAnsi="宋体"/>
                <w:color w:val="auto"/>
                <w:szCs w:val="21"/>
                <w:highlight w:val="white"/>
              </w:rPr>
            </w:pPr>
          </w:p>
        </w:tc>
        <w:tc>
          <w:tcPr>
            <w:tcW w:w="1620" w:type="dxa"/>
            <w:vAlign w:val="center"/>
          </w:tcPr>
          <w:p>
            <w:pPr>
              <w:jc w:val="center"/>
              <w:rPr>
                <w:rFonts w:ascii="宋体" w:hAnsi="宋体"/>
                <w:color w:val="auto"/>
                <w:szCs w:val="21"/>
                <w:highlight w:val="white"/>
              </w:rPr>
            </w:pPr>
          </w:p>
        </w:tc>
        <w:tc>
          <w:tcPr>
            <w:tcW w:w="1515" w:type="dxa"/>
            <w:vAlign w:val="center"/>
          </w:tcPr>
          <w:p>
            <w:pPr>
              <w:jc w:val="center"/>
              <w:rPr>
                <w:rFonts w:ascii="宋体" w:hAnsi="宋体"/>
                <w:color w:val="auto"/>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color w:val="auto"/>
                <w:szCs w:val="21"/>
                <w:highlight w:val="white"/>
              </w:rPr>
            </w:pPr>
          </w:p>
        </w:tc>
        <w:tc>
          <w:tcPr>
            <w:tcW w:w="3001" w:type="dxa"/>
            <w:vAlign w:val="center"/>
          </w:tcPr>
          <w:p>
            <w:pPr>
              <w:jc w:val="center"/>
              <w:rPr>
                <w:rFonts w:ascii="宋体" w:hAnsi="宋体"/>
                <w:color w:val="auto"/>
                <w:szCs w:val="21"/>
                <w:highlight w:val="white"/>
              </w:rPr>
            </w:pPr>
          </w:p>
        </w:tc>
        <w:tc>
          <w:tcPr>
            <w:tcW w:w="2340" w:type="dxa"/>
            <w:vAlign w:val="center"/>
          </w:tcPr>
          <w:p>
            <w:pPr>
              <w:jc w:val="center"/>
              <w:rPr>
                <w:rFonts w:ascii="宋体" w:hAnsi="宋体"/>
                <w:color w:val="auto"/>
                <w:szCs w:val="21"/>
                <w:highlight w:val="white"/>
              </w:rPr>
            </w:pPr>
          </w:p>
        </w:tc>
        <w:tc>
          <w:tcPr>
            <w:tcW w:w="1620" w:type="dxa"/>
            <w:vAlign w:val="center"/>
          </w:tcPr>
          <w:p>
            <w:pPr>
              <w:jc w:val="center"/>
              <w:rPr>
                <w:rFonts w:ascii="宋体" w:hAnsi="宋体"/>
                <w:color w:val="auto"/>
                <w:szCs w:val="21"/>
                <w:highlight w:val="white"/>
              </w:rPr>
            </w:pPr>
          </w:p>
        </w:tc>
        <w:tc>
          <w:tcPr>
            <w:tcW w:w="1515" w:type="dxa"/>
            <w:vAlign w:val="center"/>
          </w:tcPr>
          <w:p>
            <w:pPr>
              <w:jc w:val="center"/>
              <w:rPr>
                <w:rFonts w:ascii="宋体" w:hAnsi="宋体"/>
                <w:color w:val="auto"/>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color w:val="auto"/>
                <w:szCs w:val="21"/>
                <w:highlight w:val="white"/>
              </w:rPr>
            </w:pPr>
          </w:p>
        </w:tc>
        <w:tc>
          <w:tcPr>
            <w:tcW w:w="3001" w:type="dxa"/>
            <w:vAlign w:val="center"/>
          </w:tcPr>
          <w:p>
            <w:pPr>
              <w:jc w:val="center"/>
              <w:rPr>
                <w:rFonts w:ascii="宋体" w:hAnsi="宋体"/>
                <w:color w:val="auto"/>
                <w:szCs w:val="21"/>
                <w:highlight w:val="white"/>
              </w:rPr>
            </w:pPr>
          </w:p>
        </w:tc>
        <w:tc>
          <w:tcPr>
            <w:tcW w:w="2340" w:type="dxa"/>
            <w:vAlign w:val="center"/>
          </w:tcPr>
          <w:p>
            <w:pPr>
              <w:jc w:val="center"/>
              <w:rPr>
                <w:rFonts w:ascii="宋体" w:hAnsi="宋体"/>
                <w:color w:val="auto"/>
                <w:szCs w:val="21"/>
                <w:highlight w:val="white"/>
              </w:rPr>
            </w:pPr>
          </w:p>
        </w:tc>
        <w:tc>
          <w:tcPr>
            <w:tcW w:w="1620" w:type="dxa"/>
            <w:vAlign w:val="center"/>
          </w:tcPr>
          <w:p>
            <w:pPr>
              <w:jc w:val="center"/>
              <w:rPr>
                <w:rFonts w:ascii="宋体" w:hAnsi="宋体"/>
                <w:color w:val="auto"/>
                <w:szCs w:val="21"/>
                <w:highlight w:val="white"/>
              </w:rPr>
            </w:pPr>
          </w:p>
        </w:tc>
        <w:tc>
          <w:tcPr>
            <w:tcW w:w="1515" w:type="dxa"/>
            <w:vAlign w:val="center"/>
          </w:tcPr>
          <w:p>
            <w:pPr>
              <w:jc w:val="center"/>
              <w:rPr>
                <w:rFonts w:ascii="宋体" w:hAnsi="宋体"/>
                <w:color w:val="auto"/>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color w:val="auto"/>
                <w:szCs w:val="21"/>
                <w:highlight w:val="white"/>
              </w:rPr>
            </w:pPr>
          </w:p>
        </w:tc>
        <w:tc>
          <w:tcPr>
            <w:tcW w:w="3001" w:type="dxa"/>
            <w:vAlign w:val="center"/>
          </w:tcPr>
          <w:p>
            <w:pPr>
              <w:jc w:val="center"/>
              <w:rPr>
                <w:rFonts w:ascii="宋体" w:hAnsi="宋体"/>
                <w:color w:val="auto"/>
                <w:szCs w:val="21"/>
                <w:highlight w:val="white"/>
              </w:rPr>
            </w:pPr>
          </w:p>
        </w:tc>
        <w:tc>
          <w:tcPr>
            <w:tcW w:w="2340" w:type="dxa"/>
            <w:vAlign w:val="center"/>
          </w:tcPr>
          <w:p>
            <w:pPr>
              <w:jc w:val="center"/>
              <w:rPr>
                <w:rFonts w:ascii="宋体" w:hAnsi="宋体"/>
                <w:color w:val="auto"/>
                <w:szCs w:val="21"/>
                <w:highlight w:val="white"/>
              </w:rPr>
            </w:pPr>
          </w:p>
        </w:tc>
        <w:tc>
          <w:tcPr>
            <w:tcW w:w="1620" w:type="dxa"/>
            <w:vAlign w:val="center"/>
          </w:tcPr>
          <w:p>
            <w:pPr>
              <w:jc w:val="center"/>
              <w:rPr>
                <w:rFonts w:ascii="宋体" w:hAnsi="宋体"/>
                <w:color w:val="auto"/>
                <w:szCs w:val="21"/>
                <w:highlight w:val="white"/>
              </w:rPr>
            </w:pPr>
          </w:p>
        </w:tc>
        <w:tc>
          <w:tcPr>
            <w:tcW w:w="1515" w:type="dxa"/>
            <w:vAlign w:val="center"/>
          </w:tcPr>
          <w:p>
            <w:pPr>
              <w:jc w:val="center"/>
              <w:rPr>
                <w:rFonts w:ascii="宋体" w:hAnsi="宋体"/>
                <w:color w:val="auto"/>
                <w:szCs w:val="21"/>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9" w:type="dxa"/>
            <w:vAlign w:val="center"/>
          </w:tcPr>
          <w:p>
            <w:pPr>
              <w:jc w:val="center"/>
              <w:rPr>
                <w:rFonts w:ascii="宋体" w:hAnsi="宋体"/>
                <w:color w:val="auto"/>
                <w:szCs w:val="21"/>
                <w:highlight w:val="white"/>
              </w:rPr>
            </w:pPr>
          </w:p>
        </w:tc>
        <w:tc>
          <w:tcPr>
            <w:tcW w:w="3001" w:type="dxa"/>
            <w:vAlign w:val="center"/>
          </w:tcPr>
          <w:p>
            <w:pPr>
              <w:jc w:val="center"/>
              <w:rPr>
                <w:rFonts w:ascii="宋体" w:hAnsi="宋体"/>
                <w:color w:val="auto"/>
                <w:szCs w:val="21"/>
                <w:highlight w:val="white"/>
              </w:rPr>
            </w:pPr>
          </w:p>
        </w:tc>
        <w:tc>
          <w:tcPr>
            <w:tcW w:w="2340" w:type="dxa"/>
            <w:vAlign w:val="center"/>
          </w:tcPr>
          <w:p>
            <w:pPr>
              <w:jc w:val="center"/>
              <w:rPr>
                <w:rFonts w:ascii="宋体" w:hAnsi="宋体"/>
                <w:color w:val="auto"/>
                <w:szCs w:val="21"/>
                <w:highlight w:val="white"/>
              </w:rPr>
            </w:pPr>
          </w:p>
        </w:tc>
        <w:tc>
          <w:tcPr>
            <w:tcW w:w="1620" w:type="dxa"/>
            <w:vAlign w:val="center"/>
          </w:tcPr>
          <w:p>
            <w:pPr>
              <w:jc w:val="center"/>
              <w:rPr>
                <w:rFonts w:ascii="宋体" w:hAnsi="宋体"/>
                <w:color w:val="auto"/>
                <w:szCs w:val="21"/>
                <w:highlight w:val="white"/>
              </w:rPr>
            </w:pPr>
          </w:p>
        </w:tc>
        <w:tc>
          <w:tcPr>
            <w:tcW w:w="1515" w:type="dxa"/>
            <w:vAlign w:val="center"/>
          </w:tcPr>
          <w:p>
            <w:pPr>
              <w:jc w:val="center"/>
              <w:rPr>
                <w:rFonts w:ascii="宋体" w:hAnsi="宋体"/>
                <w:color w:val="auto"/>
                <w:szCs w:val="21"/>
                <w:highlight w:val="white"/>
              </w:rPr>
            </w:pPr>
          </w:p>
        </w:tc>
      </w:tr>
    </w:tbl>
    <w:p>
      <w:pPr>
        <w:spacing w:line="300" w:lineRule="auto"/>
        <w:rPr>
          <w:rFonts w:ascii="宋体" w:hAnsi="宋体"/>
          <w:color w:val="auto"/>
          <w:szCs w:val="21"/>
        </w:rPr>
      </w:pPr>
      <w:r>
        <w:rPr>
          <w:rFonts w:hint="eastAsia" w:ascii="宋体" w:hAnsi="宋体"/>
          <w:color w:val="auto"/>
          <w:szCs w:val="21"/>
          <w:highlight w:val="white"/>
          <w:lang w:eastAsia="zh-CN"/>
        </w:rPr>
        <w:t>磋商供应商：</w:t>
      </w:r>
      <w:r>
        <w:rPr>
          <w:rFonts w:ascii="宋体" w:hAnsi="宋体"/>
          <w:color w:val="auto"/>
          <w:szCs w:val="21"/>
          <w:highlight w:val="white"/>
        </w:rPr>
        <w:t>(</w:t>
      </w:r>
      <w:r>
        <w:rPr>
          <w:rFonts w:hint="eastAsia" w:ascii="宋体" w:hAnsi="宋体"/>
          <w:color w:val="auto"/>
          <w:szCs w:val="21"/>
          <w:highlight w:val="white"/>
        </w:rPr>
        <w:t>盖单位公章</w:t>
      </w:r>
      <w:r>
        <w:rPr>
          <w:rFonts w:ascii="宋体" w:hAnsi="宋体"/>
          <w:color w:val="auto"/>
          <w:szCs w:val="21"/>
          <w:highlight w:val="white"/>
        </w:rPr>
        <w:t>)</w:t>
      </w:r>
    </w:p>
    <w:p>
      <w:pPr>
        <w:spacing w:line="300" w:lineRule="auto"/>
        <w:rPr>
          <w:rFonts w:ascii="宋体" w:hAnsi="宋体"/>
          <w:color w:val="auto"/>
          <w:szCs w:val="21"/>
          <w:highlight w:val="white"/>
        </w:rPr>
      </w:pPr>
      <w:r>
        <w:rPr>
          <w:rFonts w:hint="eastAsia" w:ascii="宋体" w:hAnsi="宋体"/>
          <w:color w:val="auto"/>
          <w:szCs w:val="21"/>
          <w:highlight w:val="white"/>
        </w:rPr>
        <w:t>法人代表或授权代表：（纸质</w:t>
      </w:r>
      <w:r>
        <w:rPr>
          <w:rFonts w:hint="eastAsia" w:ascii="宋体" w:hAnsi="宋体"/>
          <w:color w:val="auto"/>
          <w:szCs w:val="21"/>
          <w:highlight w:val="white"/>
          <w:lang w:eastAsia="zh-CN"/>
        </w:rPr>
        <w:t>响应</w:t>
      </w:r>
      <w:r>
        <w:rPr>
          <w:rFonts w:hint="eastAsia" w:ascii="宋体" w:hAnsi="宋体"/>
          <w:color w:val="auto"/>
          <w:szCs w:val="21"/>
          <w:highlight w:val="white"/>
        </w:rPr>
        <w:t>文件中须签字或盖章）</w:t>
      </w:r>
    </w:p>
    <w:p>
      <w:pPr>
        <w:spacing w:line="360" w:lineRule="exact"/>
        <w:ind w:firstLine="411" w:firstLineChars="196"/>
        <w:rPr>
          <w:rFonts w:ascii="宋体" w:hAnsi="宋体"/>
          <w:color w:val="auto"/>
        </w:rPr>
      </w:pPr>
      <w:r>
        <w:rPr>
          <w:rFonts w:hint="eastAsia" w:ascii="宋体" w:hAnsi="宋体"/>
          <w:color w:val="auto"/>
          <w:szCs w:val="21"/>
          <w:highlight w:val="white"/>
        </w:rPr>
        <w:t>注：1、</w:t>
      </w:r>
      <w:r>
        <w:rPr>
          <w:rFonts w:hint="eastAsia" w:ascii="宋体" w:hAnsi="宋体"/>
          <w:color w:val="auto"/>
          <w:szCs w:val="21"/>
          <w:highlight w:val="white"/>
          <w:lang w:eastAsia="zh-CN"/>
        </w:rPr>
        <w:t>磋商供应商</w:t>
      </w:r>
      <w:r>
        <w:rPr>
          <w:rFonts w:ascii="宋体" w:hAnsi="宋体"/>
          <w:color w:val="auto"/>
          <w:highlight w:val="white"/>
        </w:rPr>
        <w:t>根据项目实际填写，表中单项，项目招标要求不涉及的可留空或自行调整。</w:t>
      </w:r>
    </w:p>
    <w:p>
      <w:pPr>
        <w:spacing w:line="300" w:lineRule="auto"/>
        <w:rPr>
          <w:rFonts w:ascii="宋体" w:hAnsi="宋体"/>
          <w:color w:val="auto"/>
        </w:rPr>
      </w:pPr>
      <w:r>
        <w:rPr>
          <w:rFonts w:ascii="宋体" w:hAnsi="宋体"/>
          <w:color w:val="auto"/>
        </w:rPr>
        <w:br w:type="page"/>
      </w:r>
    </w:p>
    <w:p>
      <w:pPr>
        <w:spacing w:line="500" w:lineRule="exact"/>
        <w:rPr>
          <w:rFonts w:ascii="宋体" w:hAnsi="宋体"/>
          <w:b/>
          <w:color w:val="auto"/>
          <w:sz w:val="28"/>
          <w:szCs w:val="28"/>
        </w:rPr>
      </w:pPr>
      <w:r>
        <w:rPr>
          <w:rFonts w:hint="eastAsia" w:ascii="宋体" w:hAnsi="宋体"/>
          <w:color w:val="auto"/>
          <w:sz w:val="30"/>
        </w:rPr>
        <w:t>九</w:t>
      </w:r>
      <w:r>
        <w:rPr>
          <w:rFonts w:hint="eastAsia" w:ascii="宋体" w:hAnsi="宋体"/>
          <w:b/>
          <w:color w:val="auto"/>
          <w:sz w:val="28"/>
          <w:szCs w:val="28"/>
        </w:rPr>
        <w:t>、方案</w:t>
      </w:r>
    </w:p>
    <w:p>
      <w:pPr>
        <w:autoSpaceDE w:val="0"/>
        <w:autoSpaceDN w:val="0"/>
        <w:adjustRightInd w:val="0"/>
        <w:jc w:val="center"/>
        <w:rPr>
          <w:rFonts w:ascii="宋体" w:hAnsi="宋体"/>
          <w:color w:val="auto"/>
          <w:sz w:val="28"/>
          <w:szCs w:val="28"/>
        </w:rPr>
      </w:pPr>
      <w:r>
        <w:rPr>
          <w:rFonts w:hint="eastAsia" w:ascii="宋体" w:hAnsi="宋体"/>
          <w:color w:val="auto"/>
          <w:sz w:val="28"/>
          <w:szCs w:val="28"/>
        </w:rPr>
        <w:t>（磋商供应商根据本项目情况和企业实际自行编制）</w:t>
      </w:r>
    </w:p>
    <w:p>
      <w:pPr>
        <w:spacing w:line="500" w:lineRule="exact"/>
        <w:ind w:right="57" w:firstLine="600" w:firstLineChars="200"/>
        <w:jc w:val="left"/>
        <w:rPr>
          <w:rFonts w:ascii="宋体" w:hAnsi="宋体"/>
          <w:color w:val="auto"/>
          <w:sz w:val="30"/>
          <w:szCs w:val="22"/>
        </w:rPr>
      </w:pPr>
    </w:p>
    <w:p>
      <w:pPr>
        <w:spacing w:line="500" w:lineRule="exact"/>
        <w:ind w:right="57" w:firstLine="600" w:firstLineChars="200"/>
        <w:jc w:val="left"/>
        <w:rPr>
          <w:rFonts w:ascii="宋体" w:hAnsi="宋体"/>
          <w:color w:val="auto"/>
          <w:sz w:val="30"/>
          <w:szCs w:val="22"/>
        </w:rPr>
      </w:pPr>
    </w:p>
    <w:p>
      <w:pPr>
        <w:spacing w:line="500" w:lineRule="exact"/>
        <w:ind w:right="57" w:firstLine="600" w:firstLineChars="200"/>
        <w:jc w:val="left"/>
        <w:rPr>
          <w:rFonts w:ascii="宋体" w:hAnsi="宋体"/>
          <w:color w:val="auto"/>
          <w:sz w:val="30"/>
          <w:szCs w:val="22"/>
        </w:rPr>
      </w:pPr>
    </w:p>
    <w:p>
      <w:pPr>
        <w:spacing w:line="500" w:lineRule="exact"/>
        <w:ind w:right="57" w:firstLine="562" w:firstLineChars="200"/>
        <w:jc w:val="center"/>
        <w:rPr>
          <w:rFonts w:ascii="宋体" w:hAnsi="宋体"/>
          <w:b/>
          <w:color w:val="auto"/>
          <w:sz w:val="28"/>
          <w:szCs w:val="28"/>
        </w:rPr>
      </w:pPr>
    </w:p>
    <w:p>
      <w:pPr>
        <w:spacing w:line="500" w:lineRule="exact"/>
        <w:ind w:right="57" w:firstLine="562" w:firstLineChars="200"/>
        <w:jc w:val="center"/>
        <w:rPr>
          <w:rFonts w:ascii="宋体" w:hAnsi="宋体"/>
          <w:b/>
          <w:color w:val="auto"/>
          <w:sz w:val="28"/>
          <w:szCs w:val="28"/>
        </w:rPr>
      </w:pPr>
    </w:p>
    <w:p>
      <w:pPr>
        <w:spacing w:line="500" w:lineRule="exact"/>
        <w:ind w:right="57" w:firstLine="562" w:firstLineChars="200"/>
        <w:jc w:val="center"/>
        <w:rPr>
          <w:rFonts w:ascii="宋体" w:hAnsi="宋体"/>
          <w:b/>
          <w:color w:val="auto"/>
          <w:sz w:val="28"/>
          <w:szCs w:val="28"/>
        </w:rPr>
      </w:pPr>
    </w:p>
    <w:p>
      <w:pPr>
        <w:spacing w:line="500" w:lineRule="exact"/>
        <w:ind w:right="57"/>
        <w:jc w:val="center"/>
        <w:rPr>
          <w:b/>
          <w:color w:val="auto"/>
          <w:sz w:val="28"/>
          <w:szCs w:val="28"/>
        </w:rPr>
      </w:pPr>
      <w:r>
        <w:rPr>
          <w:rFonts w:hint="eastAsia" w:ascii="宋体" w:hAnsi="宋体"/>
          <w:b/>
          <w:color w:val="auto"/>
          <w:sz w:val="28"/>
          <w:szCs w:val="28"/>
        </w:rPr>
        <w:t>十、磋商文件要求磋商供应商提供的或磋商供应商认为需要提供的其它内容</w:t>
      </w:r>
    </w:p>
    <w:p>
      <w:pPr>
        <w:pStyle w:val="21"/>
        <w:spacing w:before="0" w:beforeAutospacing="0" w:after="0" w:afterAutospacing="0"/>
        <w:rPr>
          <w:color w:val="auto"/>
        </w:rPr>
      </w:pPr>
    </w:p>
    <w:p>
      <w:pPr>
        <w:pStyle w:val="21"/>
        <w:spacing w:before="0" w:beforeAutospacing="0" w:after="0" w:afterAutospacing="0"/>
        <w:rPr>
          <w:color w:val="auto"/>
        </w:rPr>
      </w:pPr>
    </w:p>
    <w:p>
      <w:pPr>
        <w:pStyle w:val="21"/>
        <w:spacing w:before="0" w:beforeAutospacing="0" w:after="0" w:afterAutospacing="0"/>
        <w:rPr>
          <w:color w:val="auto"/>
        </w:rPr>
      </w:pPr>
    </w:p>
    <w:p>
      <w:pPr>
        <w:widowControl/>
        <w:spacing w:line="360" w:lineRule="auto"/>
        <w:ind w:left="180"/>
        <w:jc w:val="center"/>
        <w:rPr>
          <w:rFonts w:ascii="宋体" w:hAnsi="宋体"/>
          <w:b/>
          <w:color w:val="auto"/>
          <w:sz w:val="28"/>
          <w:szCs w:val="28"/>
        </w:rPr>
      </w:pPr>
      <w:r>
        <w:rPr>
          <w:rFonts w:ascii="宋体" w:hAnsi="宋体"/>
          <w:color w:val="auto"/>
          <w:sz w:val="32"/>
          <w:szCs w:val="32"/>
          <w:highlight w:val="white"/>
        </w:rPr>
        <w:br w:type="page"/>
      </w:r>
      <w:r>
        <w:rPr>
          <w:rFonts w:hint="eastAsia" w:ascii="宋体" w:hAnsi="宋体"/>
          <w:color w:val="auto"/>
          <w:sz w:val="32"/>
          <w:szCs w:val="32"/>
          <w:highlight w:val="white"/>
        </w:rPr>
        <w:t>十一</w:t>
      </w:r>
      <w:r>
        <w:rPr>
          <w:rFonts w:hint="eastAsia" w:ascii="宋体" w:hAnsi="宋体"/>
          <w:b/>
          <w:color w:val="auto"/>
          <w:sz w:val="28"/>
          <w:szCs w:val="28"/>
          <w:highlight w:val="white"/>
        </w:rPr>
        <w:t>、答疑（或补疑）回复签收回执（格式）</w:t>
      </w:r>
    </w:p>
    <w:p>
      <w:pPr>
        <w:spacing w:line="360" w:lineRule="auto"/>
        <w:rPr>
          <w:rFonts w:ascii="宋体" w:hAnsi="宋体"/>
          <w:color w:val="auto"/>
          <w:szCs w:val="21"/>
        </w:rPr>
      </w:pPr>
    </w:p>
    <w:p>
      <w:pPr>
        <w:spacing w:line="360" w:lineRule="auto"/>
        <w:rPr>
          <w:rFonts w:ascii="宋体" w:hAnsi="宋体"/>
          <w:color w:val="auto"/>
          <w:sz w:val="28"/>
          <w:szCs w:val="28"/>
        </w:rPr>
      </w:pPr>
      <w:r>
        <w:rPr>
          <w:rFonts w:hint="eastAsia" w:ascii="宋体" w:hAnsi="宋体"/>
          <w:color w:val="auto"/>
          <w:sz w:val="28"/>
          <w:szCs w:val="28"/>
          <w:highlight w:val="white"/>
        </w:rPr>
        <w:t>致</w:t>
      </w:r>
      <w:r>
        <w:rPr>
          <w:rFonts w:hint="eastAsia" w:ascii="宋体" w:hAnsi="宋体" w:cs="Arial"/>
          <w:color w:val="auto"/>
          <w:sz w:val="28"/>
          <w:szCs w:val="28"/>
          <w:highlight w:val="white"/>
        </w:rPr>
        <w:t>（</w:t>
      </w:r>
      <w:r>
        <w:rPr>
          <w:rFonts w:hint="eastAsia" w:ascii="宋体" w:hAnsi="宋体" w:cs="Arial"/>
          <w:color w:val="auto"/>
          <w:sz w:val="28"/>
          <w:szCs w:val="28"/>
          <w:highlight w:val="white"/>
          <w:lang w:eastAsia="zh-CN"/>
        </w:rPr>
        <w:t>采购</w:t>
      </w:r>
      <w:r>
        <w:rPr>
          <w:rFonts w:hint="eastAsia" w:ascii="宋体" w:hAnsi="宋体" w:cs="Arial"/>
          <w:color w:val="auto"/>
          <w:sz w:val="28"/>
          <w:szCs w:val="28"/>
          <w:highlight w:val="white"/>
        </w:rPr>
        <w:t>代理机构）</w:t>
      </w:r>
      <w:r>
        <w:rPr>
          <w:rFonts w:hint="eastAsia" w:ascii="宋体" w:hAnsi="宋体"/>
          <w:color w:val="auto"/>
          <w:sz w:val="28"/>
          <w:szCs w:val="28"/>
          <w:highlight w:val="white"/>
        </w:rPr>
        <w:t>：</w:t>
      </w:r>
    </w:p>
    <w:p>
      <w:pPr>
        <w:spacing w:line="360" w:lineRule="auto"/>
        <w:ind w:firstLine="560" w:firstLineChars="200"/>
        <w:rPr>
          <w:rFonts w:ascii="宋体" w:hAnsi="宋体"/>
          <w:color w:val="auto"/>
          <w:sz w:val="28"/>
          <w:szCs w:val="28"/>
        </w:rPr>
      </w:pPr>
      <w:r>
        <w:rPr>
          <w:rFonts w:hint="eastAsia" w:ascii="宋体" w:hAnsi="宋体"/>
          <w:color w:val="auto"/>
          <w:sz w:val="28"/>
          <w:szCs w:val="28"/>
          <w:highlight w:val="white"/>
        </w:rPr>
        <w:t>我单位已于年 月日上网获知（或委派代表前来领取）你处对本项目的答疑回复（或磋商补充文件）。</w:t>
      </w:r>
    </w:p>
    <w:p>
      <w:pPr>
        <w:spacing w:line="360" w:lineRule="auto"/>
        <w:ind w:firstLine="560" w:firstLineChars="200"/>
        <w:rPr>
          <w:rFonts w:ascii="宋体" w:hAnsi="宋体"/>
          <w:color w:val="auto"/>
          <w:sz w:val="28"/>
          <w:szCs w:val="28"/>
        </w:rPr>
      </w:pPr>
      <w:r>
        <w:rPr>
          <w:rFonts w:hint="eastAsia" w:ascii="宋体" w:hAnsi="宋体"/>
          <w:color w:val="auto"/>
          <w:sz w:val="28"/>
          <w:szCs w:val="28"/>
          <w:highlight w:val="white"/>
        </w:rPr>
        <w:t>特回函确认。</w:t>
      </w:r>
    </w:p>
    <w:p>
      <w:pPr>
        <w:spacing w:line="360" w:lineRule="auto"/>
        <w:jc w:val="right"/>
        <w:rPr>
          <w:rFonts w:ascii="宋体" w:hAnsi="宋体"/>
          <w:color w:val="auto"/>
          <w:sz w:val="28"/>
          <w:szCs w:val="28"/>
        </w:rPr>
      </w:pPr>
    </w:p>
    <w:p>
      <w:pPr>
        <w:spacing w:line="360" w:lineRule="auto"/>
        <w:ind w:firstLine="560" w:firstLineChars="200"/>
        <w:jc w:val="right"/>
        <w:rPr>
          <w:rFonts w:hint="eastAsia" w:ascii="宋体" w:hAnsi="宋体"/>
          <w:color w:val="auto"/>
          <w:sz w:val="28"/>
          <w:szCs w:val="28"/>
          <w:highlight w:val="white"/>
        </w:rPr>
      </w:pPr>
      <w:r>
        <w:rPr>
          <w:rFonts w:hint="eastAsia" w:ascii="宋体" w:hAnsi="宋体"/>
          <w:color w:val="auto"/>
          <w:sz w:val="28"/>
          <w:szCs w:val="28"/>
          <w:highlight w:val="white"/>
          <w:lang w:eastAsia="zh-CN"/>
        </w:rPr>
        <w:t>磋商供应商：</w:t>
      </w:r>
      <w:r>
        <w:rPr>
          <w:rFonts w:hint="eastAsia" w:ascii="宋体" w:hAnsi="宋体"/>
          <w:color w:val="auto"/>
          <w:sz w:val="28"/>
          <w:szCs w:val="28"/>
          <w:highlight w:val="white"/>
        </w:rPr>
        <w:t>(盖单位公章)</w:t>
      </w:r>
    </w:p>
    <w:p>
      <w:pPr>
        <w:spacing w:line="360" w:lineRule="auto"/>
        <w:ind w:firstLine="560" w:firstLineChars="200"/>
        <w:jc w:val="right"/>
        <w:rPr>
          <w:rFonts w:hint="eastAsia" w:ascii="宋体" w:hAnsi="宋体"/>
          <w:color w:val="auto"/>
          <w:sz w:val="28"/>
          <w:szCs w:val="28"/>
          <w:highlight w:val="white"/>
        </w:rPr>
      </w:pPr>
      <w:r>
        <w:rPr>
          <w:rFonts w:hint="eastAsia" w:ascii="宋体" w:hAnsi="宋体"/>
          <w:color w:val="auto"/>
          <w:sz w:val="28"/>
          <w:szCs w:val="28"/>
          <w:highlight w:val="white"/>
        </w:rPr>
        <w:t>法人代表或授权代表：（纸质</w:t>
      </w:r>
      <w:r>
        <w:rPr>
          <w:rFonts w:hint="eastAsia" w:ascii="宋体" w:hAnsi="宋体"/>
          <w:color w:val="auto"/>
          <w:sz w:val="28"/>
          <w:szCs w:val="28"/>
          <w:highlight w:val="white"/>
          <w:lang w:eastAsia="zh-CN"/>
        </w:rPr>
        <w:t>响应</w:t>
      </w:r>
      <w:r>
        <w:rPr>
          <w:rFonts w:hint="eastAsia" w:ascii="宋体" w:hAnsi="宋体"/>
          <w:color w:val="auto"/>
          <w:sz w:val="28"/>
          <w:szCs w:val="28"/>
          <w:highlight w:val="white"/>
        </w:rPr>
        <w:t>文件中须签字或盖章）</w:t>
      </w:r>
    </w:p>
    <w:p>
      <w:pPr>
        <w:spacing w:line="360" w:lineRule="auto"/>
        <w:ind w:right="480"/>
        <w:jc w:val="right"/>
        <w:rPr>
          <w:rFonts w:ascii="宋体" w:hAnsi="宋体"/>
          <w:color w:val="auto"/>
          <w:sz w:val="28"/>
          <w:szCs w:val="28"/>
        </w:rPr>
      </w:pPr>
      <w:r>
        <w:rPr>
          <w:rFonts w:hint="eastAsia" w:ascii="宋体" w:hAnsi="宋体"/>
          <w:color w:val="auto"/>
          <w:sz w:val="28"/>
          <w:szCs w:val="28"/>
          <w:highlight w:val="white"/>
        </w:rPr>
        <w:t>年    月    日</w:t>
      </w:r>
    </w:p>
    <w:p>
      <w:pPr>
        <w:spacing w:line="360" w:lineRule="auto"/>
        <w:ind w:firstLine="102" w:firstLineChars="49"/>
        <w:rPr>
          <w:rFonts w:hint="eastAsia" w:ascii="宋体" w:hAnsi="宋体"/>
          <w:szCs w:val="21"/>
        </w:rPr>
      </w:pPr>
      <w:r>
        <w:rPr>
          <w:rFonts w:hint="eastAsia" w:ascii="宋体" w:hAnsi="宋体"/>
          <w:szCs w:val="21"/>
        </w:rPr>
        <w:t>注：1、本项应在</w:t>
      </w:r>
      <w:r>
        <w:rPr>
          <w:rFonts w:hint="eastAsia" w:ascii="宋体" w:hAnsi="宋体"/>
          <w:szCs w:val="21"/>
          <w:lang w:eastAsia="zh-CN"/>
        </w:rPr>
        <w:t>采购</w:t>
      </w:r>
      <w:r>
        <w:rPr>
          <w:rFonts w:hint="eastAsia" w:ascii="宋体" w:hAnsi="宋体"/>
          <w:szCs w:val="21"/>
        </w:rPr>
        <w:t>过程中有涉及时须填写。</w:t>
      </w:r>
    </w:p>
    <w:p>
      <w:pPr>
        <w:spacing w:line="360" w:lineRule="auto"/>
        <w:ind w:right="480"/>
        <w:jc w:val="left"/>
        <w:rPr>
          <w:rFonts w:hint="eastAsia" w:ascii="宋体" w:hAnsi="宋体" w:eastAsia="宋体"/>
          <w:color w:val="auto"/>
          <w:sz w:val="28"/>
          <w:szCs w:val="28"/>
          <w:lang w:eastAsia="zh-CN"/>
        </w:rPr>
      </w:pPr>
      <w:r>
        <w:rPr>
          <w:rFonts w:hint="eastAsia" w:ascii="宋体" w:hAnsi="宋体"/>
          <w:szCs w:val="21"/>
        </w:rPr>
        <w:t xml:space="preserve"> 2、并非所有采购项目均涉及回执项，仅供有需要项目参考</w:t>
      </w:r>
      <w:r>
        <w:rPr>
          <w:rFonts w:hint="eastAsia" w:ascii="宋体" w:hAnsi="宋体"/>
          <w:szCs w:val="21"/>
          <w:lang w:eastAsia="zh-CN"/>
        </w:rPr>
        <w:t>。</w:t>
      </w:r>
    </w:p>
    <w:p>
      <w:pPr>
        <w:spacing w:line="360" w:lineRule="auto"/>
        <w:ind w:right="480"/>
        <w:jc w:val="right"/>
        <w:rPr>
          <w:rFonts w:ascii="宋体" w:hAnsi="宋体"/>
          <w:color w:val="auto"/>
          <w:sz w:val="28"/>
          <w:szCs w:val="28"/>
        </w:rPr>
      </w:pPr>
    </w:p>
    <w:p>
      <w:pPr>
        <w:spacing w:line="360" w:lineRule="auto"/>
        <w:ind w:right="480"/>
        <w:jc w:val="center"/>
        <w:rPr>
          <w:rFonts w:ascii="宋体" w:hAnsi="宋体"/>
          <w:b/>
          <w:color w:val="auto"/>
          <w:sz w:val="28"/>
          <w:szCs w:val="28"/>
        </w:rPr>
      </w:pPr>
      <w:r>
        <w:rPr>
          <w:rFonts w:hint="eastAsia" w:ascii="宋体" w:hAnsi="宋体"/>
          <w:b/>
          <w:color w:val="auto"/>
          <w:sz w:val="28"/>
          <w:szCs w:val="28"/>
        </w:rPr>
        <w:t>十二、投标人应提供的各类资格及证明材料</w:t>
      </w:r>
      <w:r>
        <w:rPr>
          <w:rFonts w:hint="eastAsia" w:ascii="宋体" w:hAnsi="宋体"/>
          <w:b/>
          <w:color w:val="auto"/>
          <w:sz w:val="28"/>
          <w:szCs w:val="28"/>
          <w:highlight w:val="white"/>
        </w:rPr>
        <w:t>（格式）</w:t>
      </w:r>
    </w:p>
    <w:p>
      <w:pPr>
        <w:spacing w:line="360" w:lineRule="auto"/>
        <w:jc w:val="center"/>
        <w:rPr>
          <w:rFonts w:ascii="宋体" w:hAnsi="宋体"/>
          <w:color w:val="auto"/>
          <w:szCs w:val="21"/>
        </w:rPr>
      </w:pPr>
    </w:p>
    <w:p>
      <w:pPr>
        <w:spacing w:line="360" w:lineRule="auto"/>
        <w:ind w:firstLine="560" w:firstLineChars="200"/>
        <w:rPr>
          <w:rFonts w:ascii="宋体" w:hAnsi="宋体"/>
          <w:color w:val="auto"/>
          <w:sz w:val="28"/>
          <w:szCs w:val="28"/>
          <w:highlight w:val="white"/>
        </w:rPr>
      </w:pPr>
      <w:r>
        <w:rPr>
          <w:rFonts w:hint="eastAsia" w:ascii="宋体" w:hAnsi="宋体"/>
          <w:color w:val="auto"/>
          <w:sz w:val="28"/>
          <w:szCs w:val="28"/>
          <w:highlight w:val="white"/>
        </w:rPr>
        <w:t>参加磋商的供应商在响应文件中至少须提供以下证明材料：</w:t>
      </w:r>
    </w:p>
    <w:p>
      <w:pPr>
        <w:spacing w:line="360" w:lineRule="auto"/>
        <w:ind w:firstLine="560" w:firstLineChars="200"/>
        <w:rPr>
          <w:rFonts w:ascii="宋体" w:hAnsi="宋体"/>
          <w:color w:val="auto"/>
          <w:sz w:val="28"/>
          <w:szCs w:val="28"/>
        </w:rPr>
      </w:pPr>
      <w:r>
        <w:rPr>
          <w:rFonts w:hint="eastAsia" w:ascii="宋体" w:hAnsi="宋体"/>
          <w:color w:val="auto"/>
          <w:sz w:val="28"/>
          <w:szCs w:val="28"/>
          <w:highlight w:val="white"/>
        </w:rPr>
        <w:t>1、营业执照副本复印件(须加盖投标人公章)</w:t>
      </w:r>
    </w:p>
    <w:p>
      <w:pPr>
        <w:spacing w:line="360" w:lineRule="auto"/>
        <w:ind w:firstLine="560" w:firstLineChars="200"/>
        <w:rPr>
          <w:rFonts w:ascii="宋体" w:hAnsi="宋体"/>
          <w:color w:val="auto"/>
          <w:sz w:val="28"/>
          <w:szCs w:val="28"/>
        </w:rPr>
      </w:pPr>
      <w:r>
        <w:rPr>
          <w:rFonts w:hint="eastAsia" w:ascii="宋体" w:hAnsi="宋体"/>
          <w:color w:val="auto"/>
          <w:sz w:val="28"/>
          <w:szCs w:val="28"/>
          <w:highlight w:val="white"/>
        </w:rPr>
        <w:t>2、税务登记证副本复印件(须加盖投标人公章)</w:t>
      </w:r>
    </w:p>
    <w:p>
      <w:pPr>
        <w:spacing w:line="360" w:lineRule="auto"/>
        <w:ind w:firstLine="560" w:firstLineChars="200"/>
        <w:rPr>
          <w:rFonts w:ascii="宋体" w:hAnsi="宋体"/>
          <w:color w:val="auto"/>
          <w:sz w:val="28"/>
          <w:szCs w:val="28"/>
          <w:highlight w:val="white"/>
        </w:rPr>
      </w:pPr>
      <w:r>
        <w:rPr>
          <w:rFonts w:hint="eastAsia" w:ascii="宋体" w:hAnsi="宋体"/>
          <w:color w:val="auto"/>
          <w:sz w:val="28"/>
          <w:szCs w:val="28"/>
          <w:highlight w:val="white"/>
        </w:rPr>
        <w:t>3、资质证书复印件 (须加盖投标人公章) (如果要求)</w:t>
      </w:r>
    </w:p>
    <w:p>
      <w:pPr>
        <w:spacing w:line="360" w:lineRule="auto"/>
        <w:ind w:firstLine="560" w:firstLineChars="200"/>
        <w:rPr>
          <w:rFonts w:ascii="宋体" w:hAnsi="宋体"/>
          <w:color w:val="auto"/>
          <w:sz w:val="28"/>
          <w:szCs w:val="28"/>
          <w:highlight w:val="white"/>
        </w:rPr>
      </w:pPr>
      <w:r>
        <w:rPr>
          <w:rFonts w:hint="eastAsia" w:ascii="宋体" w:hAnsi="宋体"/>
          <w:color w:val="auto"/>
          <w:sz w:val="28"/>
          <w:szCs w:val="28"/>
          <w:highlight w:val="white"/>
        </w:rPr>
        <w:t>4、法定代表人证明或授权委托书</w:t>
      </w:r>
    </w:p>
    <w:p>
      <w:pPr>
        <w:spacing w:line="360" w:lineRule="auto"/>
        <w:ind w:firstLine="560" w:firstLineChars="200"/>
        <w:rPr>
          <w:rFonts w:hint="eastAsia" w:ascii="宋体" w:hAnsi="宋体" w:eastAsia="宋体"/>
          <w:color w:val="auto"/>
          <w:sz w:val="28"/>
          <w:szCs w:val="28"/>
          <w:lang w:eastAsia="zh-CN"/>
        </w:rPr>
      </w:pPr>
      <w:r>
        <w:rPr>
          <w:rFonts w:hint="eastAsia" w:ascii="宋体" w:hAnsi="宋体"/>
          <w:color w:val="auto"/>
          <w:sz w:val="28"/>
          <w:szCs w:val="28"/>
          <w:highlight w:val="white"/>
        </w:rPr>
        <w:t>5、磋商文件要求</w:t>
      </w:r>
      <w:r>
        <w:rPr>
          <w:rFonts w:hint="eastAsia" w:ascii="宋体" w:hAnsi="宋体"/>
          <w:color w:val="auto"/>
          <w:sz w:val="28"/>
          <w:szCs w:val="28"/>
          <w:highlight w:val="white"/>
          <w:lang w:eastAsia="zh-CN"/>
        </w:rPr>
        <w:t>磋商供应商</w:t>
      </w:r>
      <w:r>
        <w:rPr>
          <w:rFonts w:hint="eastAsia" w:ascii="宋体" w:hAnsi="宋体"/>
          <w:color w:val="auto"/>
          <w:sz w:val="28"/>
          <w:szCs w:val="28"/>
          <w:highlight w:val="white"/>
        </w:rPr>
        <w:t>提供的或</w:t>
      </w:r>
      <w:r>
        <w:rPr>
          <w:rFonts w:hint="eastAsia" w:ascii="宋体" w:hAnsi="宋体"/>
          <w:color w:val="auto"/>
          <w:sz w:val="28"/>
          <w:szCs w:val="28"/>
          <w:highlight w:val="white"/>
          <w:lang w:eastAsia="zh-CN"/>
        </w:rPr>
        <w:t>磋商供应商</w:t>
      </w:r>
      <w:r>
        <w:rPr>
          <w:rFonts w:hint="eastAsia" w:ascii="宋体" w:hAnsi="宋体"/>
          <w:color w:val="auto"/>
          <w:sz w:val="28"/>
          <w:szCs w:val="28"/>
          <w:highlight w:val="white"/>
        </w:rPr>
        <w:t>认为需要提供的其它内容</w:t>
      </w:r>
      <w:r>
        <w:rPr>
          <w:rFonts w:hint="eastAsia" w:ascii="宋体" w:hAnsi="宋体"/>
          <w:color w:val="auto"/>
          <w:sz w:val="28"/>
          <w:szCs w:val="28"/>
          <w:highlight w:val="white"/>
          <w:lang w:eastAsia="zh-CN"/>
        </w:rPr>
        <w:t>。</w:t>
      </w:r>
    </w:p>
    <w:p>
      <w:pPr>
        <w:spacing w:line="360" w:lineRule="auto"/>
        <w:rPr>
          <w:color w:val="auto"/>
          <w:sz w:val="28"/>
          <w:szCs w:val="28"/>
        </w:rPr>
      </w:pPr>
    </w:p>
    <w:p>
      <w:pPr>
        <w:rPr>
          <w:color w:val="auto"/>
          <w:sz w:val="28"/>
          <w:szCs w:val="28"/>
        </w:rPr>
      </w:pPr>
    </w:p>
    <w:sectPr>
      <w:pgSz w:w="11906" w:h="16838"/>
      <w:pgMar w:top="1247" w:right="1134" w:bottom="79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DotumChe">
    <w:panose1 w:val="020B0609000101010101"/>
    <w:charset w:val="81"/>
    <w:family w:val="modern"/>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TT0Bo0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Style w:val="27"/>
      </w:rPr>
    </w:pPr>
    <w:r>
      <w:rPr>
        <w:rStyle w:val="27"/>
      </w:rPr>
      <w:t>第</w:t>
    </w:r>
    <w:r>
      <w:fldChar w:fldCharType="begin"/>
    </w:r>
    <w:r>
      <w:rPr>
        <w:rStyle w:val="27"/>
      </w:rPr>
      <w:instrText xml:space="preserve"> PAGE </w:instrText>
    </w:r>
    <w:r>
      <w:fldChar w:fldCharType="separate"/>
    </w:r>
    <w:r>
      <w:rPr>
        <w:rStyle w:val="27"/>
      </w:rPr>
      <w:t>14</w:t>
    </w:r>
    <w:r>
      <w:fldChar w:fldCharType="end"/>
    </w:r>
    <w:r>
      <w:rPr>
        <w:rStyle w:val="27"/>
      </w:rPr>
      <w:t>页 共</w:t>
    </w:r>
    <w:r>
      <w:fldChar w:fldCharType="begin"/>
    </w:r>
    <w:r>
      <w:rPr>
        <w:rStyle w:val="27"/>
      </w:rPr>
      <w:instrText xml:space="preserve"> NUMPAGES </w:instrText>
    </w:r>
    <w:r>
      <w:fldChar w:fldCharType="separate"/>
    </w:r>
    <w:r>
      <w:rPr>
        <w:rStyle w:val="27"/>
      </w:rPr>
      <w:t>32</w:t>
    </w:r>
    <w:r>
      <w:fldChar w:fldCharType="end"/>
    </w:r>
    <w:r>
      <w:rPr>
        <w:rStyle w:val="27"/>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t>陕西安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CA437C"/>
    <w:multiLevelType w:val="singleLevel"/>
    <w:tmpl w:val="B6CA437C"/>
    <w:lvl w:ilvl="0" w:tentative="0">
      <w:start w:val="2"/>
      <w:numFmt w:val="chineseCounting"/>
      <w:suff w:val="nothing"/>
      <w:lvlText w:val="（%1）"/>
      <w:lvlJc w:val="left"/>
      <w:rPr>
        <w:rFonts w:hint="eastAsia"/>
      </w:rPr>
    </w:lvl>
  </w:abstractNum>
  <w:abstractNum w:abstractNumId="1">
    <w:nsid w:val="175E0D57"/>
    <w:multiLevelType w:val="singleLevel"/>
    <w:tmpl w:val="175E0D57"/>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73E"/>
    <w:rsid w:val="00062024"/>
    <w:rsid w:val="00067E33"/>
    <w:rsid w:val="000866CE"/>
    <w:rsid w:val="00095AD7"/>
    <w:rsid w:val="000B7318"/>
    <w:rsid w:val="000C30E3"/>
    <w:rsid w:val="000C3B5E"/>
    <w:rsid w:val="000C71EC"/>
    <w:rsid w:val="000D3D47"/>
    <w:rsid w:val="000F394F"/>
    <w:rsid w:val="00101C52"/>
    <w:rsid w:val="001205D2"/>
    <w:rsid w:val="0012488F"/>
    <w:rsid w:val="001401F7"/>
    <w:rsid w:val="00157838"/>
    <w:rsid w:val="00172A27"/>
    <w:rsid w:val="00183E12"/>
    <w:rsid w:val="0019269D"/>
    <w:rsid w:val="00194581"/>
    <w:rsid w:val="001A4F06"/>
    <w:rsid w:val="001B7823"/>
    <w:rsid w:val="001B7900"/>
    <w:rsid w:val="001E67AE"/>
    <w:rsid w:val="00200F0C"/>
    <w:rsid w:val="002243C3"/>
    <w:rsid w:val="0026604E"/>
    <w:rsid w:val="002B03A5"/>
    <w:rsid w:val="002B3E99"/>
    <w:rsid w:val="002C1DFF"/>
    <w:rsid w:val="002C57AD"/>
    <w:rsid w:val="003003C0"/>
    <w:rsid w:val="003025BC"/>
    <w:rsid w:val="00304FFD"/>
    <w:rsid w:val="00313937"/>
    <w:rsid w:val="00317156"/>
    <w:rsid w:val="00323D2E"/>
    <w:rsid w:val="00326DA8"/>
    <w:rsid w:val="00340DDB"/>
    <w:rsid w:val="003671A8"/>
    <w:rsid w:val="0036773D"/>
    <w:rsid w:val="0038184C"/>
    <w:rsid w:val="00396C68"/>
    <w:rsid w:val="003978F9"/>
    <w:rsid w:val="003B278C"/>
    <w:rsid w:val="003D1C05"/>
    <w:rsid w:val="003F5B4E"/>
    <w:rsid w:val="0041054B"/>
    <w:rsid w:val="00420D1A"/>
    <w:rsid w:val="00421780"/>
    <w:rsid w:val="00431723"/>
    <w:rsid w:val="0044261C"/>
    <w:rsid w:val="00446AD9"/>
    <w:rsid w:val="00451F50"/>
    <w:rsid w:val="00456C2D"/>
    <w:rsid w:val="00476048"/>
    <w:rsid w:val="00484B6A"/>
    <w:rsid w:val="004A64AD"/>
    <w:rsid w:val="004B2A4A"/>
    <w:rsid w:val="004C4D3F"/>
    <w:rsid w:val="004C671E"/>
    <w:rsid w:val="004D5345"/>
    <w:rsid w:val="004D58ED"/>
    <w:rsid w:val="004F070A"/>
    <w:rsid w:val="00521286"/>
    <w:rsid w:val="005317A4"/>
    <w:rsid w:val="00536924"/>
    <w:rsid w:val="00542D7C"/>
    <w:rsid w:val="00552D07"/>
    <w:rsid w:val="00557305"/>
    <w:rsid w:val="005578EC"/>
    <w:rsid w:val="00561477"/>
    <w:rsid w:val="005C36A9"/>
    <w:rsid w:val="005E1E95"/>
    <w:rsid w:val="00611300"/>
    <w:rsid w:val="00612E6A"/>
    <w:rsid w:val="00614851"/>
    <w:rsid w:val="00620708"/>
    <w:rsid w:val="00623829"/>
    <w:rsid w:val="00624831"/>
    <w:rsid w:val="006379F9"/>
    <w:rsid w:val="0064434A"/>
    <w:rsid w:val="00655332"/>
    <w:rsid w:val="006658CB"/>
    <w:rsid w:val="00671DD0"/>
    <w:rsid w:val="006902D3"/>
    <w:rsid w:val="00691680"/>
    <w:rsid w:val="006A6DB3"/>
    <w:rsid w:val="006D7559"/>
    <w:rsid w:val="006D7F0D"/>
    <w:rsid w:val="006E46F9"/>
    <w:rsid w:val="007005F4"/>
    <w:rsid w:val="00714FA7"/>
    <w:rsid w:val="00715337"/>
    <w:rsid w:val="00725B97"/>
    <w:rsid w:val="00733F32"/>
    <w:rsid w:val="00753B8C"/>
    <w:rsid w:val="00762AA4"/>
    <w:rsid w:val="00764E62"/>
    <w:rsid w:val="00766261"/>
    <w:rsid w:val="00770669"/>
    <w:rsid w:val="007879DA"/>
    <w:rsid w:val="00794B59"/>
    <w:rsid w:val="007A2DC6"/>
    <w:rsid w:val="007A51BC"/>
    <w:rsid w:val="007A6283"/>
    <w:rsid w:val="007A6853"/>
    <w:rsid w:val="007B2CEA"/>
    <w:rsid w:val="007C61CB"/>
    <w:rsid w:val="007D1D24"/>
    <w:rsid w:val="007E2430"/>
    <w:rsid w:val="007E3B93"/>
    <w:rsid w:val="007E7F4E"/>
    <w:rsid w:val="007F406F"/>
    <w:rsid w:val="00811895"/>
    <w:rsid w:val="0081363F"/>
    <w:rsid w:val="00815C92"/>
    <w:rsid w:val="00821246"/>
    <w:rsid w:val="00831A81"/>
    <w:rsid w:val="00834023"/>
    <w:rsid w:val="0083625C"/>
    <w:rsid w:val="0083699C"/>
    <w:rsid w:val="00847F44"/>
    <w:rsid w:val="0085184C"/>
    <w:rsid w:val="00861BBD"/>
    <w:rsid w:val="008671B7"/>
    <w:rsid w:val="00872FEA"/>
    <w:rsid w:val="0087367C"/>
    <w:rsid w:val="008756E5"/>
    <w:rsid w:val="0088224B"/>
    <w:rsid w:val="008935B8"/>
    <w:rsid w:val="00895F3B"/>
    <w:rsid w:val="008A65B5"/>
    <w:rsid w:val="008C53AF"/>
    <w:rsid w:val="008C7405"/>
    <w:rsid w:val="008D2BA7"/>
    <w:rsid w:val="008E0CFA"/>
    <w:rsid w:val="008E214C"/>
    <w:rsid w:val="008E5302"/>
    <w:rsid w:val="009015DB"/>
    <w:rsid w:val="00903669"/>
    <w:rsid w:val="00930C50"/>
    <w:rsid w:val="00933DAA"/>
    <w:rsid w:val="00945191"/>
    <w:rsid w:val="009501E5"/>
    <w:rsid w:val="009536DA"/>
    <w:rsid w:val="009569DE"/>
    <w:rsid w:val="0098684A"/>
    <w:rsid w:val="009912B6"/>
    <w:rsid w:val="00995C81"/>
    <w:rsid w:val="009A1099"/>
    <w:rsid w:val="009D6044"/>
    <w:rsid w:val="009E1144"/>
    <w:rsid w:val="009E544A"/>
    <w:rsid w:val="00A0171D"/>
    <w:rsid w:val="00A117D8"/>
    <w:rsid w:val="00A14F81"/>
    <w:rsid w:val="00A219C5"/>
    <w:rsid w:val="00A21BBE"/>
    <w:rsid w:val="00A330D5"/>
    <w:rsid w:val="00A37D21"/>
    <w:rsid w:val="00A466EA"/>
    <w:rsid w:val="00A51356"/>
    <w:rsid w:val="00A52A73"/>
    <w:rsid w:val="00A65346"/>
    <w:rsid w:val="00A71983"/>
    <w:rsid w:val="00A84461"/>
    <w:rsid w:val="00AA5390"/>
    <w:rsid w:val="00AA66C5"/>
    <w:rsid w:val="00AA7081"/>
    <w:rsid w:val="00AC79D9"/>
    <w:rsid w:val="00AE1E0C"/>
    <w:rsid w:val="00AE1E17"/>
    <w:rsid w:val="00AF4666"/>
    <w:rsid w:val="00AF6D40"/>
    <w:rsid w:val="00B023EE"/>
    <w:rsid w:val="00B05D5F"/>
    <w:rsid w:val="00B07762"/>
    <w:rsid w:val="00B11130"/>
    <w:rsid w:val="00B21596"/>
    <w:rsid w:val="00B309EE"/>
    <w:rsid w:val="00B36107"/>
    <w:rsid w:val="00B517BE"/>
    <w:rsid w:val="00B65092"/>
    <w:rsid w:val="00B765CB"/>
    <w:rsid w:val="00B843CE"/>
    <w:rsid w:val="00B94D74"/>
    <w:rsid w:val="00B950B1"/>
    <w:rsid w:val="00B96EBE"/>
    <w:rsid w:val="00BA0D7B"/>
    <w:rsid w:val="00BA23E9"/>
    <w:rsid w:val="00BA4B9E"/>
    <w:rsid w:val="00BD5859"/>
    <w:rsid w:val="00BF02A1"/>
    <w:rsid w:val="00C30EFC"/>
    <w:rsid w:val="00C339BB"/>
    <w:rsid w:val="00C6617C"/>
    <w:rsid w:val="00CA45F2"/>
    <w:rsid w:val="00CB2A7E"/>
    <w:rsid w:val="00CB4EB3"/>
    <w:rsid w:val="00CC72D3"/>
    <w:rsid w:val="00CE283B"/>
    <w:rsid w:val="00CE4AA6"/>
    <w:rsid w:val="00CE5345"/>
    <w:rsid w:val="00D03324"/>
    <w:rsid w:val="00D034BE"/>
    <w:rsid w:val="00D13624"/>
    <w:rsid w:val="00D175AA"/>
    <w:rsid w:val="00D25799"/>
    <w:rsid w:val="00D33F43"/>
    <w:rsid w:val="00D672CD"/>
    <w:rsid w:val="00D76BF6"/>
    <w:rsid w:val="00D77BFD"/>
    <w:rsid w:val="00D97642"/>
    <w:rsid w:val="00DA2C82"/>
    <w:rsid w:val="00DB4A86"/>
    <w:rsid w:val="00DC0B44"/>
    <w:rsid w:val="00DC1EA3"/>
    <w:rsid w:val="00DE7A59"/>
    <w:rsid w:val="00DF4F74"/>
    <w:rsid w:val="00E34BDD"/>
    <w:rsid w:val="00E41599"/>
    <w:rsid w:val="00E564D0"/>
    <w:rsid w:val="00E56B0A"/>
    <w:rsid w:val="00E85775"/>
    <w:rsid w:val="00E902E4"/>
    <w:rsid w:val="00EA5A5B"/>
    <w:rsid w:val="00EB165C"/>
    <w:rsid w:val="00EB2694"/>
    <w:rsid w:val="00ED0017"/>
    <w:rsid w:val="00ED3513"/>
    <w:rsid w:val="00EE388B"/>
    <w:rsid w:val="00EE7764"/>
    <w:rsid w:val="00F152E6"/>
    <w:rsid w:val="00F156B7"/>
    <w:rsid w:val="00F1613D"/>
    <w:rsid w:val="00F21626"/>
    <w:rsid w:val="00F23A8C"/>
    <w:rsid w:val="00F2592E"/>
    <w:rsid w:val="00F40F54"/>
    <w:rsid w:val="00F46222"/>
    <w:rsid w:val="00F53491"/>
    <w:rsid w:val="00F71524"/>
    <w:rsid w:val="00F73AB1"/>
    <w:rsid w:val="00F9556C"/>
    <w:rsid w:val="00FB0619"/>
    <w:rsid w:val="00FB31F4"/>
    <w:rsid w:val="00FB3292"/>
    <w:rsid w:val="00FE0267"/>
    <w:rsid w:val="010614FD"/>
    <w:rsid w:val="01161048"/>
    <w:rsid w:val="012F3CA9"/>
    <w:rsid w:val="01970E62"/>
    <w:rsid w:val="01B7086B"/>
    <w:rsid w:val="01FD15B1"/>
    <w:rsid w:val="01FE729D"/>
    <w:rsid w:val="026C11F7"/>
    <w:rsid w:val="029A1B67"/>
    <w:rsid w:val="029E7BFD"/>
    <w:rsid w:val="02A73B69"/>
    <w:rsid w:val="02A82422"/>
    <w:rsid w:val="033B4FE5"/>
    <w:rsid w:val="034E58C3"/>
    <w:rsid w:val="0377710F"/>
    <w:rsid w:val="037B309A"/>
    <w:rsid w:val="03912E88"/>
    <w:rsid w:val="03A97A47"/>
    <w:rsid w:val="03AE7CB4"/>
    <w:rsid w:val="03D00545"/>
    <w:rsid w:val="03FC0C03"/>
    <w:rsid w:val="041145AA"/>
    <w:rsid w:val="04192940"/>
    <w:rsid w:val="04476099"/>
    <w:rsid w:val="04556870"/>
    <w:rsid w:val="045A6929"/>
    <w:rsid w:val="04C037E1"/>
    <w:rsid w:val="04C6392D"/>
    <w:rsid w:val="04CC5278"/>
    <w:rsid w:val="04D44A78"/>
    <w:rsid w:val="04FD00E0"/>
    <w:rsid w:val="04FF4D88"/>
    <w:rsid w:val="053948AB"/>
    <w:rsid w:val="05A42173"/>
    <w:rsid w:val="05BB3670"/>
    <w:rsid w:val="05DF4851"/>
    <w:rsid w:val="05E02FF3"/>
    <w:rsid w:val="05E11505"/>
    <w:rsid w:val="05FE03D8"/>
    <w:rsid w:val="0630248E"/>
    <w:rsid w:val="0670134E"/>
    <w:rsid w:val="06757992"/>
    <w:rsid w:val="06C7788E"/>
    <w:rsid w:val="06C972C9"/>
    <w:rsid w:val="06EF6F7C"/>
    <w:rsid w:val="070F27A4"/>
    <w:rsid w:val="0729009D"/>
    <w:rsid w:val="0745185E"/>
    <w:rsid w:val="07502312"/>
    <w:rsid w:val="077A735F"/>
    <w:rsid w:val="07845E05"/>
    <w:rsid w:val="07885319"/>
    <w:rsid w:val="078F2BBB"/>
    <w:rsid w:val="07D26297"/>
    <w:rsid w:val="07DE1349"/>
    <w:rsid w:val="07FC3326"/>
    <w:rsid w:val="08212E23"/>
    <w:rsid w:val="082A4583"/>
    <w:rsid w:val="08354FE5"/>
    <w:rsid w:val="083C6704"/>
    <w:rsid w:val="086E7E36"/>
    <w:rsid w:val="088B63D5"/>
    <w:rsid w:val="08973A7B"/>
    <w:rsid w:val="08A60378"/>
    <w:rsid w:val="08B272C8"/>
    <w:rsid w:val="08B85746"/>
    <w:rsid w:val="08D63C97"/>
    <w:rsid w:val="08D84490"/>
    <w:rsid w:val="08EF78A1"/>
    <w:rsid w:val="0906650D"/>
    <w:rsid w:val="09417118"/>
    <w:rsid w:val="09805221"/>
    <w:rsid w:val="099D4AA7"/>
    <w:rsid w:val="09AA1401"/>
    <w:rsid w:val="09C2398F"/>
    <w:rsid w:val="09D1439C"/>
    <w:rsid w:val="0A0936C4"/>
    <w:rsid w:val="0A26661B"/>
    <w:rsid w:val="0A364457"/>
    <w:rsid w:val="0A4009AB"/>
    <w:rsid w:val="0A5D73F3"/>
    <w:rsid w:val="0A624E1C"/>
    <w:rsid w:val="0A7B0A8D"/>
    <w:rsid w:val="0A83181A"/>
    <w:rsid w:val="0ABF1711"/>
    <w:rsid w:val="0ADF3C48"/>
    <w:rsid w:val="0AE12798"/>
    <w:rsid w:val="0B347AF4"/>
    <w:rsid w:val="0B4E6BD6"/>
    <w:rsid w:val="0B51183A"/>
    <w:rsid w:val="0B720BA6"/>
    <w:rsid w:val="0B8E7FBF"/>
    <w:rsid w:val="0BB036A5"/>
    <w:rsid w:val="0BB27EB0"/>
    <w:rsid w:val="0BBA7D9B"/>
    <w:rsid w:val="0C6B32D8"/>
    <w:rsid w:val="0C7209D1"/>
    <w:rsid w:val="0C794DD4"/>
    <w:rsid w:val="0C7F2A80"/>
    <w:rsid w:val="0CA06774"/>
    <w:rsid w:val="0CC9101B"/>
    <w:rsid w:val="0CD25449"/>
    <w:rsid w:val="0CF26DE0"/>
    <w:rsid w:val="0D036691"/>
    <w:rsid w:val="0D1426EB"/>
    <w:rsid w:val="0D1C5BEB"/>
    <w:rsid w:val="0D3007F7"/>
    <w:rsid w:val="0D6235FD"/>
    <w:rsid w:val="0D6F40F0"/>
    <w:rsid w:val="0DAB3B96"/>
    <w:rsid w:val="0DD11C9E"/>
    <w:rsid w:val="0DF17C93"/>
    <w:rsid w:val="0DF83250"/>
    <w:rsid w:val="0E0209BF"/>
    <w:rsid w:val="0E1D7744"/>
    <w:rsid w:val="0E342265"/>
    <w:rsid w:val="0E3544EC"/>
    <w:rsid w:val="0E35784D"/>
    <w:rsid w:val="0E65261C"/>
    <w:rsid w:val="0E7D6522"/>
    <w:rsid w:val="0E891C88"/>
    <w:rsid w:val="0EB9043A"/>
    <w:rsid w:val="0F033B93"/>
    <w:rsid w:val="0F0B7B52"/>
    <w:rsid w:val="0F2C53F8"/>
    <w:rsid w:val="0F576CBB"/>
    <w:rsid w:val="0F9D057F"/>
    <w:rsid w:val="0FE11915"/>
    <w:rsid w:val="0FEE6211"/>
    <w:rsid w:val="10034552"/>
    <w:rsid w:val="10046DB5"/>
    <w:rsid w:val="10303B90"/>
    <w:rsid w:val="10546F72"/>
    <w:rsid w:val="10554C8D"/>
    <w:rsid w:val="106C21DB"/>
    <w:rsid w:val="10796B30"/>
    <w:rsid w:val="107C3289"/>
    <w:rsid w:val="10854573"/>
    <w:rsid w:val="1090031F"/>
    <w:rsid w:val="10913C7B"/>
    <w:rsid w:val="10966973"/>
    <w:rsid w:val="109A294A"/>
    <w:rsid w:val="10BA1A71"/>
    <w:rsid w:val="10C348F4"/>
    <w:rsid w:val="110452C6"/>
    <w:rsid w:val="111157EF"/>
    <w:rsid w:val="111F2CA6"/>
    <w:rsid w:val="112C58FF"/>
    <w:rsid w:val="115F40EC"/>
    <w:rsid w:val="11863215"/>
    <w:rsid w:val="11892EAE"/>
    <w:rsid w:val="11904DB6"/>
    <w:rsid w:val="11AE56AC"/>
    <w:rsid w:val="11C554B5"/>
    <w:rsid w:val="11D33E4D"/>
    <w:rsid w:val="11F26DC5"/>
    <w:rsid w:val="12050977"/>
    <w:rsid w:val="12427373"/>
    <w:rsid w:val="124F4BE1"/>
    <w:rsid w:val="127B1014"/>
    <w:rsid w:val="12B04FA7"/>
    <w:rsid w:val="12D61875"/>
    <w:rsid w:val="133D4AE9"/>
    <w:rsid w:val="13546BA6"/>
    <w:rsid w:val="13694D16"/>
    <w:rsid w:val="13817301"/>
    <w:rsid w:val="13A812E3"/>
    <w:rsid w:val="1400081C"/>
    <w:rsid w:val="140D4846"/>
    <w:rsid w:val="141D1104"/>
    <w:rsid w:val="141D3F45"/>
    <w:rsid w:val="14224924"/>
    <w:rsid w:val="143C2940"/>
    <w:rsid w:val="14627B7F"/>
    <w:rsid w:val="14814679"/>
    <w:rsid w:val="14A93036"/>
    <w:rsid w:val="14AE687D"/>
    <w:rsid w:val="155F5B5D"/>
    <w:rsid w:val="1577680E"/>
    <w:rsid w:val="159B0B0E"/>
    <w:rsid w:val="15BD0C3F"/>
    <w:rsid w:val="15C44FFE"/>
    <w:rsid w:val="15E47006"/>
    <w:rsid w:val="15F52FB9"/>
    <w:rsid w:val="15FA293A"/>
    <w:rsid w:val="15FC022E"/>
    <w:rsid w:val="164B423E"/>
    <w:rsid w:val="164D348E"/>
    <w:rsid w:val="16957FE9"/>
    <w:rsid w:val="169D0F01"/>
    <w:rsid w:val="16ED627A"/>
    <w:rsid w:val="16F518F9"/>
    <w:rsid w:val="17471DA1"/>
    <w:rsid w:val="1749005A"/>
    <w:rsid w:val="1749696F"/>
    <w:rsid w:val="17562F59"/>
    <w:rsid w:val="175A385B"/>
    <w:rsid w:val="176028DD"/>
    <w:rsid w:val="177A04E8"/>
    <w:rsid w:val="177E13E5"/>
    <w:rsid w:val="179105CE"/>
    <w:rsid w:val="17B20E62"/>
    <w:rsid w:val="17D0041E"/>
    <w:rsid w:val="17D46F5A"/>
    <w:rsid w:val="182A24C0"/>
    <w:rsid w:val="18376A3B"/>
    <w:rsid w:val="18400821"/>
    <w:rsid w:val="184E3191"/>
    <w:rsid w:val="18D02F38"/>
    <w:rsid w:val="18D33CF5"/>
    <w:rsid w:val="18D670CB"/>
    <w:rsid w:val="18FA0B8B"/>
    <w:rsid w:val="18FB63BE"/>
    <w:rsid w:val="19056E5C"/>
    <w:rsid w:val="190E028D"/>
    <w:rsid w:val="190F3603"/>
    <w:rsid w:val="1930157D"/>
    <w:rsid w:val="19430167"/>
    <w:rsid w:val="1998215F"/>
    <w:rsid w:val="19AB796A"/>
    <w:rsid w:val="19E53E34"/>
    <w:rsid w:val="19FE0A33"/>
    <w:rsid w:val="1A3D1012"/>
    <w:rsid w:val="1A582729"/>
    <w:rsid w:val="1A6C26B3"/>
    <w:rsid w:val="1A8B7887"/>
    <w:rsid w:val="1AA227AF"/>
    <w:rsid w:val="1AD275F1"/>
    <w:rsid w:val="1AD916DF"/>
    <w:rsid w:val="1AF514B1"/>
    <w:rsid w:val="1AFA073B"/>
    <w:rsid w:val="1B2A30FC"/>
    <w:rsid w:val="1B5912AF"/>
    <w:rsid w:val="1B6B2104"/>
    <w:rsid w:val="1B965DEC"/>
    <w:rsid w:val="1BB76F21"/>
    <w:rsid w:val="1C26747F"/>
    <w:rsid w:val="1C353ED6"/>
    <w:rsid w:val="1C4D214D"/>
    <w:rsid w:val="1C7C7CFD"/>
    <w:rsid w:val="1C804CE4"/>
    <w:rsid w:val="1CB53786"/>
    <w:rsid w:val="1CF82469"/>
    <w:rsid w:val="1D03275E"/>
    <w:rsid w:val="1D0352FD"/>
    <w:rsid w:val="1D29258A"/>
    <w:rsid w:val="1D2A2D85"/>
    <w:rsid w:val="1D6761F1"/>
    <w:rsid w:val="1D923C2E"/>
    <w:rsid w:val="1D9C08F7"/>
    <w:rsid w:val="1DAC10D0"/>
    <w:rsid w:val="1DBC0F17"/>
    <w:rsid w:val="1E1B2784"/>
    <w:rsid w:val="1E2B6B6E"/>
    <w:rsid w:val="1E322A11"/>
    <w:rsid w:val="1E3C237D"/>
    <w:rsid w:val="1E4456CC"/>
    <w:rsid w:val="1E4D51D8"/>
    <w:rsid w:val="1E4E708D"/>
    <w:rsid w:val="1E5B68FC"/>
    <w:rsid w:val="1E6C049E"/>
    <w:rsid w:val="1E851676"/>
    <w:rsid w:val="1E8A1568"/>
    <w:rsid w:val="1E9F4177"/>
    <w:rsid w:val="1EE324BA"/>
    <w:rsid w:val="1EF344EE"/>
    <w:rsid w:val="1F1315F5"/>
    <w:rsid w:val="1F172861"/>
    <w:rsid w:val="1F192046"/>
    <w:rsid w:val="1F3B73C6"/>
    <w:rsid w:val="1F5F3B7C"/>
    <w:rsid w:val="200E6269"/>
    <w:rsid w:val="201C3F18"/>
    <w:rsid w:val="204169A0"/>
    <w:rsid w:val="20424996"/>
    <w:rsid w:val="2080575F"/>
    <w:rsid w:val="20872933"/>
    <w:rsid w:val="20BE69BB"/>
    <w:rsid w:val="20D27391"/>
    <w:rsid w:val="20E0737D"/>
    <w:rsid w:val="20E365A8"/>
    <w:rsid w:val="20F96157"/>
    <w:rsid w:val="20FD275C"/>
    <w:rsid w:val="21236437"/>
    <w:rsid w:val="218570E9"/>
    <w:rsid w:val="219C5456"/>
    <w:rsid w:val="21A5532F"/>
    <w:rsid w:val="22057F0F"/>
    <w:rsid w:val="221E301A"/>
    <w:rsid w:val="2222614B"/>
    <w:rsid w:val="225647B1"/>
    <w:rsid w:val="225E3DDD"/>
    <w:rsid w:val="22854719"/>
    <w:rsid w:val="22893FE2"/>
    <w:rsid w:val="22926D09"/>
    <w:rsid w:val="22A60EA7"/>
    <w:rsid w:val="22B20C6C"/>
    <w:rsid w:val="22BC594D"/>
    <w:rsid w:val="22E050AD"/>
    <w:rsid w:val="230D36A5"/>
    <w:rsid w:val="2310500A"/>
    <w:rsid w:val="23335893"/>
    <w:rsid w:val="233E074C"/>
    <w:rsid w:val="23487170"/>
    <w:rsid w:val="2352098E"/>
    <w:rsid w:val="239E3727"/>
    <w:rsid w:val="23AC11A1"/>
    <w:rsid w:val="2404720D"/>
    <w:rsid w:val="24114CFE"/>
    <w:rsid w:val="245261AE"/>
    <w:rsid w:val="24566495"/>
    <w:rsid w:val="25032C25"/>
    <w:rsid w:val="25130583"/>
    <w:rsid w:val="252C7569"/>
    <w:rsid w:val="2553004D"/>
    <w:rsid w:val="25740F01"/>
    <w:rsid w:val="2588263E"/>
    <w:rsid w:val="258A03B6"/>
    <w:rsid w:val="258A3E5F"/>
    <w:rsid w:val="25AE1206"/>
    <w:rsid w:val="25B85B2D"/>
    <w:rsid w:val="25FA13CA"/>
    <w:rsid w:val="25FA7FB9"/>
    <w:rsid w:val="260B1AAA"/>
    <w:rsid w:val="262A2D6B"/>
    <w:rsid w:val="263B623D"/>
    <w:rsid w:val="264033E4"/>
    <w:rsid w:val="264D710A"/>
    <w:rsid w:val="266A264B"/>
    <w:rsid w:val="26832761"/>
    <w:rsid w:val="26B331BF"/>
    <w:rsid w:val="26CE4133"/>
    <w:rsid w:val="26DF466B"/>
    <w:rsid w:val="272D0283"/>
    <w:rsid w:val="27371ED6"/>
    <w:rsid w:val="275F6653"/>
    <w:rsid w:val="276D249C"/>
    <w:rsid w:val="27954A94"/>
    <w:rsid w:val="27AD64F9"/>
    <w:rsid w:val="28087E47"/>
    <w:rsid w:val="281040A4"/>
    <w:rsid w:val="281C4BEB"/>
    <w:rsid w:val="28CD4DDA"/>
    <w:rsid w:val="28D57B78"/>
    <w:rsid w:val="28F517A5"/>
    <w:rsid w:val="290F1EFA"/>
    <w:rsid w:val="29202B02"/>
    <w:rsid w:val="2963024D"/>
    <w:rsid w:val="29787DF5"/>
    <w:rsid w:val="29F7601D"/>
    <w:rsid w:val="2A091FC0"/>
    <w:rsid w:val="2A214DB6"/>
    <w:rsid w:val="2A223F42"/>
    <w:rsid w:val="2A7F6456"/>
    <w:rsid w:val="2AA9450A"/>
    <w:rsid w:val="2AB10501"/>
    <w:rsid w:val="2AB257C3"/>
    <w:rsid w:val="2ADE3227"/>
    <w:rsid w:val="2AE93677"/>
    <w:rsid w:val="2B3466FC"/>
    <w:rsid w:val="2B57759F"/>
    <w:rsid w:val="2B5C086B"/>
    <w:rsid w:val="2B6C56BD"/>
    <w:rsid w:val="2B6F1FCE"/>
    <w:rsid w:val="2B8E6CAE"/>
    <w:rsid w:val="2BBB48E9"/>
    <w:rsid w:val="2BD91DAB"/>
    <w:rsid w:val="2C0926F2"/>
    <w:rsid w:val="2C3D1C9A"/>
    <w:rsid w:val="2C6C4C36"/>
    <w:rsid w:val="2CA044F3"/>
    <w:rsid w:val="2CFC3B32"/>
    <w:rsid w:val="2D0505E5"/>
    <w:rsid w:val="2D0C1329"/>
    <w:rsid w:val="2D3C2232"/>
    <w:rsid w:val="2D7A5702"/>
    <w:rsid w:val="2D9B584A"/>
    <w:rsid w:val="2DD000E8"/>
    <w:rsid w:val="2DF41120"/>
    <w:rsid w:val="2E1C00C9"/>
    <w:rsid w:val="2E34043A"/>
    <w:rsid w:val="2E5228AE"/>
    <w:rsid w:val="2E5F77C2"/>
    <w:rsid w:val="2E635340"/>
    <w:rsid w:val="2E7A549E"/>
    <w:rsid w:val="2E9126D2"/>
    <w:rsid w:val="2E9B5F95"/>
    <w:rsid w:val="2EAC7EA3"/>
    <w:rsid w:val="2EE149F8"/>
    <w:rsid w:val="2EE2754C"/>
    <w:rsid w:val="2EF663FB"/>
    <w:rsid w:val="2EFF4388"/>
    <w:rsid w:val="2F13003C"/>
    <w:rsid w:val="2F2D4579"/>
    <w:rsid w:val="2F8179A2"/>
    <w:rsid w:val="2F874971"/>
    <w:rsid w:val="2F8C71F0"/>
    <w:rsid w:val="2F9007A4"/>
    <w:rsid w:val="2F942CAE"/>
    <w:rsid w:val="2FA814B2"/>
    <w:rsid w:val="2FD1061F"/>
    <w:rsid w:val="30045336"/>
    <w:rsid w:val="300A60F2"/>
    <w:rsid w:val="30127BDD"/>
    <w:rsid w:val="303D11C8"/>
    <w:rsid w:val="304825C0"/>
    <w:rsid w:val="3051603C"/>
    <w:rsid w:val="3058031D"/>
    <w:rsid w:val="306271B7"/>
    <w:rsid w:val="306D707A"/>
    <w:rsid w:val="30AD7FF1"/>
    <w:rsid w:val="31056BDC"/>
    <w:rsid w:val="31111D83"/>
    <w:rsid w:val="312C4509"/>
    <w:rsid w:val="314E7451"/>
    <w:rsid w:val="31576C02"/>
    <w:rsid w:val="317D1575"/>
    <w:rsid w:val="319C11F3"/>
    <w:rsid w:val="31AD450B"/>
    <w:rsid w:val="31E04498"/>
    <w:rsid w:val="320C2678"/>
    <w:rsid w:val="32381203"/>
    <w:rsid w:val="32572291"/>
    <w:rsid w:val="326C45CE"/>
    <w:rsid w:val="327759A6"/>
    <w:rsid w:val="32872284"/>
    <w:rsid w:val="32953FE5"/>
    <w:rsid w:val="32CF17DF"/>
    <w:rsid w:val="32FA71AA"/>
    <w:rsid w:val="33141033"/>
    <w:rsid w:val="334A4235"/>
    <w:rsid w:val="33725174"/>
    <w:rsid w:val="33A3007F"/>
    <w:rsid w:val="33F70BE6"/>
    <w:rsid w:val="34000236"/>
    <w:rsid w:val="345441B2"/>
    <w:rsid w:val="34673A87"/>
    <w:rsid w:val="347B11BC"/>
    <w:rsid w:val="347F08B6"/>
    <w:rsid w:val="34822263"/>
    <w:rsid w:val="3485242E"/>
    <w:rsid w:val="348E17FE"/>
    <w:rsid w:val="34E060AE"/>
    <w:rsid w:val="351E2606"/>
    <w:rsid w:val="35251D11"/>
    <w:rsid w:val="353D6F14"/>
    <w:rsid w:val="35575A35"/>
    <w:rsid w:val="356A1A68"/>
    <w:rsid w:val="35840F99"/>
    <w:rsid w:val="36025624"/>
    <w:rsid w:val="36137C17"/>
    <w:rsid w:val="361637BF"/>
    <w:rsid w:val="362C58E8"/>
    <w:rsid w:val="36452F59"/>
    <w:rsid w:val="36497ABA"/>
    <w:rsid w:val="364F5632"/>
    <w:rsid w:val="36594C25"/>
    <w:rsid w:val="365D04CA"/>
    <w:rsid w:val="3669209F"/>
    <w:rsid w:val="36817FFF"/>
    <w:rsid w:val="36860D77"/>
    <w:rsid w:val="36951749"/>
    <w:rsid w:val="36A83265"/>
    <w:rsid w:val="36BD5CAA"/>
    <w:rsid w:val="36D258BD"/>
    <w:rsid w:val="36D91D7D"/>
    <w:rsid w:val="37125E68"/>
    <w:rsid w:val="372031B1"/>
    <w:rsid w:val="37302DFF"/>
    <w:rsid w:val="377B7327"/>
    <w:rsid w:val="377F4790"/>
    <w:rsid w:val="37877301"/>
    <w:rsid w:val="378E2E0B"/>
    <w:rsid w:val="37E97F96"/>
    <w:rsid w:val="37EC247D"/>
    <w:rsid w:val="37F97BE8"/>
    <w:rsid w:val="38601962"/>
    <w:rsid w:val="388143DE"/>
    <w:rsid w:val="3898262F"/>
    <w:rsid w:val="38BA41F0"/>
    <w:rsid w:val="38CB3EA2"/>
    <w:rsid w:val="38EB3B93"/>
    <w:rsid w:val="39284E7A"/>
    <w:rsid w:val="39446015"/>
    <w:rsid w:val="39A95DE4"/>
    <w:rsid w:val="3A1970E9"/>
    <w:rsid w:val="3A1E4B56"/>
    <w:rsid w:val="3A5C5F14"/>
    <w:rsid w:val="3A791F44"/>
    <w:rsid w:val="3A9366F1"/>
    <w:rsid w:val="3A94057C"/>
    <w:rsid w:val="3AB24CB2"/>
    <w:rsid w:val="3ABA3217"/>
    <w:rsid w:val="3AC125C7"/>
    <w:rsid w:val="3AC37DC5"/>
    <w:rsid w:val="3AD5551D"/>
    <w:rsid w:val="3B39506D"/>
    <w:rsid w:val="3B57770F"/>
    <w:rsid w:val="3B5B01FF"/>
    <w:rsid w:val="3B6C2B6D"/>
    <w:rsid w:val="3B802D74"/>
    <w:rsid w:val="3B816363"/>
    <w:rsid w:val="3BA95B81"/>
    <w:rsid w:val="3BED0CBF"/>
    <w:rsid w:val="3BF8580A"/>
    <w:rsid w:val="3BFF0C57"/>
    <w:rsid w:val="3C030A3F"/>
    <w:rsid w:val="3C0C0A1E"/>
    <w:rsid w:val="3C10047C"/>
    <w:rsid w:val="3C262FEA"/>
    <w:rsid w:val="3C9C4B05"/>
    <w:rsid w:val="3CB4499B"/>
    <w:rsid w:val="3CC42E72"/>
    <w:rsid w:val="3CD81947"/>
    <w:rsid w:val="3D0A756F"/>
    <w:rsid w:val="3D131076"/>
    <w:rsid w:val="3D166516"/>
    <w:rsid w:val="3D541731"/>
    <w:rsid w:val="3D6363A9"/>
    <w:rsid w:val="3D6F6294"/>
    <w:rsid w:val="3DA13685"/>
    <w:rsid w:val="3DEE6D6D"/>
    <w:rsid w:val="3DFA4FDA"/>
    <w:rsid w:val="3E44222B"/>
    <w:rsid w:val="3EC56C1D"/>
    <w:rsid w:val="3F6B64C0"/>
    <w:rsid w:val="3F6C1A45"/>
    <w:rsid w:val="3F730EA4"/>
    <w:rsid w:val="3F8F4259"/>
    <w:rsid w:val="3F992EBD"/>
    <w:rsid w:val="3FAF544E"/>
    <w:rsid w:val="3FC23A20"/>
    <w:rsid w:val="3FC41C10"/>
    <w:rsid w:val="3FED1DE8"/>
    <w:rsid w:val="3FEF4D2B"/>
    <w:rsid w:val="4025496C"/>
    <w:rsid w:val="40572A9C"/>
    <w:rsid w:val="406F1570"/>
    <w:rsid w:val="40741280"/>
    <w:rsid w:val="40993401"/>
    <w:rsid w:val="40A5047C"/>
    <w:rsid w:val="40B87C40"/>
    <w:rsid w:val="40BB4065"/>
    <w:rsid w:val="40BB6DAB"/>
    <w:rsid w:val="40C448C4"/>
    <w:rsid w:val="40D34F08"/>
    <w:rsid w:val="40EC5BC7"/>
    <w:rsid w:val="411366C9"/>
    <w:rsid w:val="41242BE7"/>
    <w:rsid w:val="413F50BD"/>
    <w:rsid w:val="41624E59"/>
    <w:rsid w:val="418A4EAD"/>
    <w:rsid w:val="41A85B0B"/>
    <w:rsid w:val="41AC2C28"/>
    <w:rsid w:val="41CC0C3C"/>
    <w:rsid w:val="41F96CC3"/>
    <w:rsid w:val="421F7E90"/>
    <w:rsid w:val="425424E3"/>
    <w:rsid w:val="428D3507"/>
    <w:rsid w:val="42AD617A"/>
    <w:rsid w:val="42C30E2D"/>
    <w:rsid w:val="42CF61D5"/>
    <w:rsid w:val="42D80BCB"/>
    <w:rsid w:val="43030B13"/>
    <w:rsid w:val="430A39A0"/>
    <w:rsid w:val="4323152A"/>
    <w:rsid w:val="433A3D83"/>
    <w:rsid w:val="436C1CAB"/>
    <w:rsid w:val="437B1FD1"/>
    <w:rsid w:val="438928E2"/>
    <w:rsid w:val="4399511A"/>
    <w:rsid w:val="43B22420"/>
    <w:rsid w:val="43B7397F"/>
    <w:rsid w:val="43DB7739"/>
    <w:rsid w:val="43F147D7"/>
    <w:rsid w:val="43FE78FC"/>
    <w:rsid w:val="4411469A"/>
    <w:rsid w:val="443137BB"/>
    <w:rsid w:val="447C299F"/>
    <w:rsid w:val="44831444"/>
    <w:rsid w:val="44847753"/>
    <w:rsid w:val="44960D6C"/>
    <w:rsid w:val="44BD0F77"/>
    <w:rsid w:val="44E970E7"/>
    <w:rsid w:val="450352E9"/>
    <w:rsid w:val="45117027"/>
    <w:rsid w:val="453973A7"/>
    <w:rsid w:val="454A1971"/>
    <w:rsid w:val="455F2ABD"/>
    <w:rsid w:val="459C485A"/>
    <w:rsid w:val="45BE7922"/>
    <w:rsid w:val="45D26416"/>
    <w:rsid w:val="45EF3447"/>
    <w:rsid w:val="464C3A4C"/>
    <w:rsid w:val="46526ECF"/>
    <w:rsid w:val="46735CC3"/>
    <w:rsid w:val="467A459C"/>
    <w:rsid w:val="46903AF9"/>
    <w:rsid w:val="46EE3208"/>
    <w:rsid w:val="47321B54"/>
    <w:rsid w:val="47502CCF"/>
    <w:rsid w:val="4756464D"/>
    <w:rsid w:val="47832559"/>
    <w:rsid w:val="47B350CC"/>
    <w:rsid w:val="47BC2AF4"/>
    <w:rsid w:val="47D81135"/>
    <w:rsid w:val="47E51236"/>
    <w:rsid w:val="47FA0AE7"/>
    <w:rsid w:val="481B1F87"/>
    <w:rsid w:val="485D0A72"/>
    <w:rsid w:val="487B6FED"/>
    <w:rsid w:val="48B36B47"/>
    <w:rsid w:val="48B457CC"/>
    <w:rsid w:val="48E84859"/>
    <w:rsid w:val="490E4D56"/>
    <w:rsid w:val="491815B8"/>
    <w:rsid w:val="496309EF"/>
    <w:rsid w:val="496C7BF0"/>
    <w:rsid w:val="497A3495"/>
    <w:rsid w:val="499949F3"/>
    <w:rsid w:val="499C7818"/>
    <w:rsid w:val="49AE0859"/>
    <w:rsid w:val="4A085DE5"/>
    <w:rsid w:val="4A0975BB"/>
    <w:rsid w:val="4A0F1DE7"/>
    <w:rsid w:val="4A154A9F"/>
    <w:rsid w:val="4A4244A4"/>
    <w:rsid w:val="4A613531"/>
    <w:rsid w:val="4A81070F"/>
    <w:rsid w:val="4A8E5989"/>
    <w:rsid w:val="4AB64F71"/>
    <w:rsid w:val="4AD56AFE"/>
    <w:rsid w:val="4AE14CED"/>
    <w:rsid w:val="4AE81C64"/>
    <w:rsid w:val="4AEF14C3"/>
    <w:rsid w:val="4B020656"/>
    <w:rsid w:val="4B0F43BC"/>
    <w:rsid w:val="4B16544F"/>
    <w:rsid w:val="4B3C13A8"/>
    <w:rsid w:val="4B4A2723"/>
    <w:rsid w:val="4B5255C9"/>
    <w:rsid w:val="4B7256B4"/>
    <w:rsid w:val="4BF04C3C"/>
    <w:rsid w:val="4BFF4D76"/>
    <w:rsid w:val="4C0B540B"/>
    <w:rsid w:val="4C7606E5"/>
    <w:rsid w:val="4CAA25FF"/>
    <w:rsid w:val="4CCA14CF"/>
    <w:rsid w:val="4CD22609"/>
    <w:rsid w:val="4CF060F0"/>
    <w:rsid w:val="4D0656AA"/>
    <w:rsid w:val="4D18214F"/>
    <w:rsid w:val="4D7740F7"/>
    <w:rsid w:val="4DC47D80"/>
    <w:rsid w:val="4DC672C0"/>
    <w:rsid w:val="4DD005AB"/>
    <w:rsid w:val="4DDD7BB8"/>
    <w:rsid w:val="4E041007"/>
    <w:rsid w:val="4E1F3232"/>
    <w:rsid w:val="4E205D66"/>
    <w:rsid w:val="4E220E39"/>
    <w:rsid w:val="4E237045"/>
    <w:rsid w:val="4E267E51"/>
    <w:rsid w:val="4E3102C0"/>
    <w:rsid w:val="4E334FD7"/>
    <w:rsid w:val="4E3A3298"/>
    <w:rsid w:val="4E4341DA"/>
    <w:rsid w:val="4E624A52"/>
    <w:rsid w:val="4E66332D"/>
    <w:rsid w:val="4E6D3FCD"/>
    <w:rsid w:val="4E956E60"/>
    <w:rsid w:val="4EB82977"/>
    <w:rsid w:val="4EC03BAB"/>
    <w:rsid w:val="4ED870DD"/>
    <w:rsid w:val="4EEE093A"/>
    <w:rsid w:val="4EFE610A"/>
    <w:rsid w:val="4F1030F4"/>
    <w:rsid w:val="4F270D8B"/>
    <w:rsid w:val="4F334841"/>
    <w:rsid w:val="4F433C9A"/>
    <w:rsid w:val="4F514CEF"/>
    <w:rsid w:val="4FA25A9B"/>
    <w:rsid w:val="4FCB0443"/>
    <w:rsid w:val="501A66E0"/>
    <w:rsid w:val="50392C9B"/>
    <w:rsid w:val="503D2EE7"/>
    <w:rsid w:val="50450283"/>
    <w:rsid w:val="506B5027"/>
    <w:rsid w:val="507023DB"/>
    <w:rsid w:val="50782B72"/>
    <w:rsid w:val="50EE7600"/>
    <w:rsid w:val="50FA50BC"/>
    <w:rsid w:val="510C5D96"/>
    <w:rsid w:val="51437504"/>
    <w:rsid w:val="515040D0"/>
    <w:rsid w:val="519B67E3"/>
    <w:rsid w:val="521E4B54"/>
    <w:rsid w:val="5284498B"/>
    <w:rsid w:val="528969E8"/>
    <w:rsid w:val="52CC0C6E"/>
    <w:rsid w:val="52DA78A6"/>
    <w:rsid w:val="52F6580C"/>
    <w:rsid w:val="533073E5"/>
    <w:rsid w:val="53527372"/>
    <w:rsid w:val="53E06ED4"/>
    <w:rsid w:val="53F54372"/>
    <w:rsid w:val="54067A66"/>
    <w:rsid w:val="545B2242"/>
    <w:rsid w:val="54625C10"/>
    <w:rsid w:val="54664D22"/>
    <w:rsid w:val="5498135C"/>
    <w:rsid w:val="549D742B"/>
    <w:rsid w:val="54A95EF7"/>
    <w:rsid w:val="54DC4FE3"/>
    <w:rsid w:val="55164BF7"/>
    <w:rsid w:val="5539630C"/>
    <w:rsid w:val="55566BF6"/>
    <w:rsid w:val="55827460"/>
    <w:rsid w:val="55FF52BE"/>
    <w:rsid w:val="561C2A19"/>
    <w:rsid w:val="56266339"/>
    <w:rsid w:val="56E528F5"/>
    <w:rsid w:val="57280A11"/>
    <w:rsid w:val="572C4545"/>
    <w:rsid w:val="57304F33"/>
    <w:rsid w:val="575D578A"/>
    <w:rsid w:val="57A27897"/>
    <w:rsid w:val="57A863C7"/>
    <w:rsid w:val="57BE1D80"/>
    <w:rsid w:val="57DB10A3"/>
    <w:rsid w:val="57FE05CD"/>
    <w:rsid w:val="57FE20EF"/>
    <w:rsid w:val="583C0450"/>
    <w:rsid w:val="584826AE"/>
    <w:rsid w:val="584E5EFC"/>
    <w:rsid w:val="58682EC3"/>
    <w:rsid w:val="587527E8"/>
    <w:rsid w:val="58815B2F"/>
    <w:rsid w:val="58BE10BE"/>
    <w:rsid w:val="58C37030"/>
    <w:rsid w:val="58C56F9B"/>
    <w:rsid w:val="58CB66EF"/>
    <w:rsid w:val="58E134B2"/>
    <w:rsid w:val="591E0B09"/>
    <w:rsid w:val="592C1565"/>
    <w:rsid w:val="592E44CB"/>
    <w:rsid w:val="594835A6"/>
    <w:rsid w:val="594B0E70"/>
    <w:rsid w:val="59550D56"/>
    <w:rsid w:val="59A658A0"/>
    <w:rsid w:val="59B70D82"/>
    <w:rsid w:val="59BD5462"/>
    <w:rsid w:val="59E54AE4"/>
    <w:rsid w:val="59EA16D9"/>
    <w:rsid w:val="59F24DE2"/>
    <w:rsid w:val="59F93493"/>
    <w:rsid w:val="5A0C3332"/>
    <w:rsid w:val="5A6A4013"/>
    <w:rsid w:val="5A8C7980"/>
    <w:rsid w:val="5A8E2C84"/>
    <w:rsid w:val="5AAE238C"/>
    <w:rsid w:val="5AB712C2"/>
    <w:rsid w:val="5B5702BF"/>
    <w:rsid w:val="5BD423BF"/>
    <w:rsid w:val="5BD5126E"/>
    <w:rsid w:val="5BDB4C65"/>
    <w:rsid w:val="5BE55C5A"/>
    <w:rsid w:val="5BF91F6A"/>
    <w:rsid w:val="5C060085"/>
    <w:rsid w:val="5C115B74"/>
    <w:rsid w:val="5C1B3E47"/>
    <w:rsid w:val="5C2D3A1C"/>
    <w:rsid w:val="5C754D4E"/>
    <w:rsid w:val="5C84457C"/>
    <w:rsid w:val="5C86754C"/>
    <w:rsid w:val="5C8C6CF0"/>
    <w:rsid w:val="5CAF6ACC"/>
    <w:rsid w:val="5CBF14B9"/>
    <w:rsid w:val="5CCF5D5F"/>
    <w:rsid w:val="5D12225A"/>
    <w:rsid w:val="5D46596B"/>
    <w:rsid w:val="5D4A41C4"/>
    <w:rsid w:val="5D5E7489"/>
    <w:rsid w:val="5D72275F"/>
    <w:rsid w:val="5DC12E3A"/>
    <w:rsid w:val="5DDE224A"/>
    <w:rsid w:val="5DF2294A"/>
    <w:rsid w:val="5E125253"/>
    <w:rsid w:val="5E315780"/>
    <w:rsid w:val="5E315A97"/>
    <w:rsid w:val="5E5343F6"/>
    <w:rsid w:val="5E605257"/>
    <w:rsid w:val="5E675C0F"/>
    <w:rsid w:val="5E704682"/>
    <w:rsid w:val="5EBB4B3D"/>
    <w:rsid w:val="5EEB52CB"/>
    <w:rsid w:val="5EEF4DC6"/>
    <w:rsid w:val="5F381A1E"/>
    <w:rsid w:val="5F621D75"/>
    <w:rsid w:val="5F714D82"/>
    <w:rsid w:val="5FAA0316"/>
    <w:rsid w:val="5FD05DD4"/>
    <w:rsid w:val="603E446C"/>
    <w:rsid w:val="604F5912"/>
    <w:rsid w:val="60525B1F"/>
    <w:rsid w:val="605F2329"/>
    <w:rsid w:val="60912023"/>
    <w:rsid w:val="60A920FD"/>
    <w:rsid w:val="60CA5289"/>
    <w:rsid w:val="60CE0C32"/>
    <w:rsid w:val="60CF472F"/>
    <w:rsid w:val="60D16687"/>
    <w:rsid w:val="60D438BA"/>
    <w:rsid w:val="60D719A0"/>
    <w:rsid w:val="61040324"/>
    <w:rsid w:val="61084535"/>
    <w:rsid w:val="6110424D"/>
    <w:rsid w:val="61144F25"/>
    <w:rsid w:val="611E1F30"/>
    <w:rsid w:val="612651B0"/>
    <w:rsid w:val="612762F3"/>
    <w:rsid w:val="61380301"/>
    <w:rsid w:val="615B5136"/>
    <w:rsid w:val="6162745C"/>
    <w:rsid w:val="616D05A5"/>
    <w:rsid w:val="61A51D58"/>
    <w:rsid w:val="61A94892"/>
    <w:rsid w:val="61EE5038"/>
    <w:rsid w:val="6200712C"/>
    <w:rsid w:val="62026F44"/>
    <w:rsid w:val="62076536"/>
    <w:rsid w:val="624D6304"/>
    <w:rsid w:val="62915DA2"/>
    <w:rsid w:val="62B1767B"/>
    <w:rsid w:val="62D2669B"/>
    <w:rsid w:val="62E70C25"/>
    <w:rsid w:val="63117EBC"/>
    <w:rsid w:val="631B6551"/>
    <w:rsid w:val="63241653"/>
    <w:rsid w:val="63294803"/>
    <w:rsid w:val="63367475"/>
    <w:rsid w:val="634E4190"/>
    <w:rsid w:val="63520B7B"/>
    <w:rsid w:val="635E6657"/>
    <w:rsid w:val="6371679C"/>
    <w:rsid w:val="637568FA"/>
    <w:rsid w:val="63C14D72"/>
    <w:rsid w:val="63C3660E"/>
    <w:rsid w:val="63CA7865"/>
    <w:rsid w:val="63FC01AD"/>
    <w:rsid w:val="640A6779"/>
    <w:rsid w:val="64295E2E"/>
    <w:rsid w:val="642C5BA6"/>
    <w:rsid w:val="64352379"/>
    <w:rsid w:val="643C1F92"/>
    <w:rsid w:val="643C64EC"/>
    <w:rsid w:val="643E025A"/>
    <w:rsid w:val="648C0B9D"/>
    <w:rsid w:val="649C7C88"/>
    <w:rsid w:val="64A977B5"/>
    <w:rsid w:val="64C9244B"/>
    <w:rsid w:val="64ED15A9"/>
    <w:rsid w:val="64F129FA"/>
    <w:rsid w:val="64F22542"/>
    <w:rsid w:val="64FF5E58"/>
    <w:rsid w:val="65297025"/>
    <w:rsid w:val="65736F5F"/>
    <w:rsid w:val="659473C6"/>
    <w:rsid w:val="65B1504F"/>
    <w:rsid w:val="65D15DA0"/>
    <w:rsid w:val="65E77CE7"/>
    <w:rsid w:val="66187864"/>
    <w:rsid w:val="662150E5"/>
    <w:rsid w:val="662C0D15"/>
    <w:rsid w:val="664C2865"/>
    <w:rsid w:val="66597AD7"/>
    <w:rsid w:val="666306AE"/>
    <w:rsid w:val="66880C9D"/>
    <w:rsid w:val="66952AA0"/>
    <w:rsid w:val="669A6FFE"/>
    <w:rsid w:val="66A01401"/>
    <w:rsid w:val="66A25530"/>
    <w:rsid w:val="66C52B3E"/>
    <w:rsid w:val="66D66AC5"/>
    <w:rsid w:val="66E17FA5"/>
    <w:rsid w:val="66FB49B9"/>
    <w:rsid w:val="674707C9"/>
    <w:rsid w:val="67524DD8"/>
    <w:rsid w:val="6753751A"/>
    <w:rsid w:val="67830BC9"/>
    <w:rsid w:val="67B97A6B"/>
    <w:rsid w:val="67D25A7C"/>
    <w:rsid w:val="680521BF"/>
    <w:rsid w:val="680648C6"/>
    <w:rsid w:val="681514E3"/>
    <w:rsid w:val="684B26C1"/>
    <w:rsid w:val="684E15C5"/>
    <w:rsid w:val="684F362F"/>
    <w:rsid w:val="686C7F2F"/>
    <w:rsid w:val="68854AFB"/>
    <w:rsid w:val="68914CC5"/>
    <w:rsid w:val="68AF7243"/>
    <w:rsid w:val="68CA01B9"/>
    <w:rsid w:val="68FF5250"/>
    <w:rsid w:val="69280B05"/>
    <w:rsid w:val="693B56A3"/>
    <w:rsid w:val="695C2CDD"/>
    <w:rsid w:val="6981492B"/>
    <w:rsid w:val="69D31AFB"/>
    <w:rsid w:val="69D571D0"/>
    <w:rsid w:val="69F82656"/>
    <w:rsid w:val="6A2353A1"/>
    <w:rsid w:val="6A405255"/>
    <w:rsid w:val="6A416618"/>
    <w:rsid w:val="6A9B2041"/>
    <w:rsid w:val="6B6A5EB0"/>
    <w:rsid w:val="6B7B606E"/>
    <w:rsid w:val="6BA472F4"/>
    <w:rsid w:val="6BAD59B4"/>
    <w:rsid w:val="6BB623E2"/>
    <w:rsid w:val="6BDA3213"/>
    <w:rsid w:val="6BFC37C0"/>
    <w:rsid w:val="6C167F96"/>
    <w:rsid w:val="6C425229"/>
    <w:rsid w:val="6C5D7CE6"/>
    <w:rsid w:val="6C610945"/>
    <w:rsid w:val="6C8305B3"/>
    <w:rsid w:val="6C955CB1"/>
    <w:rsid w:val="6CAD5CBC"/>
    <w:rsid w:val="6CD4614B"/>
    <w:rsid w:val="6D1B39CF"/>
    <w:rsid w:val="6D260FB5"/>
    <w:rsid w:val="6D57217E"/>
    <w:rsid w:val="6D5C3B9B"/>
    <w:rsid w:val="6D5E06E1"/>
    <w:rsid w:val="6D66795C"/>
    <w:rsid w:val="6D9733B4"/>
    <w:rsid w:val="6D993F7C"/>
    <w:rsid w:val="6D9B49AB"/>
    <w:rsid w:val="6DA44CE7"/>
    <w:rsid w:val="6DBA23AE"/>
    <w:rsid w:val="6DC06131"/>
    <w:rsid w:val="6DD8178B"/>
    <w:rsid w:val="6E012900"/>
    <w:rsid w:val="6E0A6D72"/>
    <w:rsid w:val="6E320E9F"/>
    <w:rsid w:val="6E5D2E06"/>
    <w:rsid w:val="6E7B0345"/>
    <w:rsid w:val="6E923944"/>
    <w:rsid w:val="6E9E2131"/>
    <w:rsid w:val="6EF26BAA"/>
    <w:rsid w:val="6F6E0B57"/>
    <w:rsid w:val="6F792DDC"/>
    <w:rsid w:val="6F821B12"/>
    <w:rsid w:val="6F944E19"/>
    <w:rsid w:val="6FD2427F"/>
    <w:rsid w:val="6FD97053"/>
    <w:rsid w:val="703A3AD1"/>
    <w:rsid w:val="70815B53"/>
    <w:rsid w:val="708E27B7"/>
    <w:rsid w:val="709F2F2A"/>
    <w:rsid w:val="70C37C72"/>
    <w:rsid w:val="70F3514B"/>
    <w:rsid w:val="712E56F7"/>
    <w:rsid w:val="71607A10"/>
    <w:rsid w:val="716D5EA5"/>
    <w:rsid w:val="7186175E"/>
    <w:rsid w:val="71894EFD"/>
    <w:rsid w:val="719C478D"/>
    <w:rsid w:val="71C908DC"/>
    <w:rsid w:val="71E653C7"/>
    <w:rsid w:val="727204D3"/>
    <w:rsid w:val="727C52CB"/>
    <w:rsid w:val="72AD1059"/>
    <w:rsid w:val="72D95D5B"/>
    <w:rsid w:val="72E04A1F"/>
    <w:rsid w:val="72E65027"/>
    <w:rsid w:val="730B7FD4"/>
    <w:rsid w:val="730F0191"/>
    <w:rsid w:val="73163D36"/>
    <w:rsid w:val="7374583B"/>
    <w:rsid w:val="73861D97"/>
    <w:rsid w:val="739767F7"/>
    <w:rsid w:val="73CA14B1"/>
    <w:rsid w:val="73CB68E6"/>
    <w:rsid w:val="73FB0BD1"/>
    <w:rsid w:val="741C43E5"/>
    <w:rsid w:val="743C6FA7"/>
    <w:rsid w:val="74440401"/>
    <w:rsid w:val="745C4188"/>
    <w:rsid w:val="74731AF5"/>
    <w:rsid w:val="748C6C7A"/>
    <w:rsid w:val="74C479AA"/>
    <w:rsid w:val="74CC60D1"/>
    <w:rsid w:val="74D82364"/>
    <w:rsid w:val="74FA0F11"/>
    <w:rsid w:val="750A59AD"/>
    <w:rsid w:val="75104AF7"/>
    <w:rsid w:val="751236F7"/>
    <w:rsid w:val="7522750A"/>
    <w:rsid w:val="75240EC9"/>
    <w:rsid w:val="75375628"/>
    <w:rsid w:val="75381F55"/>
    <w:rsid w:val="755902B2"/>
    <w:rsid w:val="75626356"/>
    <w:rsid w:val="75793805"/>
    <w:rsid w:val="758672DF"/>
    <w:rsid w:val="75A73E07"/>
    <w:rsid w:val="75EA6F25"/>
    <w:rsid w:val="75F44575"/>
    <w:rsid w:val="76056F9F"/>
    <w:rsid w:val="76163529"/>
    <w:rsid w:val="76577005"/>
    <w:rsid w:val="767B7834"/>
    <w:rsid w:val="76822030"/>
    <w:rsid w:val="76937881"/>
    <w:rsid w:val="76965678"/>
    <w:rsid w:val="76A67FD0"/>
    <w:rsid w:val="76C67B5E"/>
    <w:rsid w:val="76EF60A5"/>
    <w:rsid w:val="76F91001"/>
    <w:rsid w:val="76FF45B4"/>
    <w:rsid w:val="771C2094"/>
    <w:rsid w:val="777152AC"/>
    <w:rsid w:val="77833720"/>
    <w:rsid w:val="778A3CB5"/>
    <w:rsid w:val="77D32B9E"/>
    <w:rsid w:val="77D9073A"/>
    <w:rsid w:val="7804553A"/>
    <w:rsid w:val="782E5223"/>
    <w:rsid w:val="785227B3"/>
    <w:rsid w:val="787E3AD7"/>
    <w:rsid w:val="788068BB"/>
    <w:rsid w:val="788A7068"/>
    <w:rsid w:val="78A67D1E"/>
    <w:rsid w:val="78B018A3"/>
    <w:rsid w:val="78C91EA8"/>
    <w:rsid w:val="7907793D"/>
    <w:rsid w:val="793F7EEA"/>
    <w:rsid w:val="79500D97"/>
    <w:rsid w:val="79560991"/>
    <w:rsid w:val="79730684"/>
    <w:rsid w:val="7975122B"/>
    <w:rsid w:val="79784D71"/>
    <w:rsid w:val="797C09AE"/>
    <w:rsid w:val="7987593C"/>
    <w:rsid w:val="79A527F7"/>
    <w:rsid w:val="79B30D40"/>
    <w:rsid w:val="79B604B5"/>
    <w:rsid w:val="79EC2CF1"/>
    <w:rsid w:val="7A037D2C"/>
    <w:rsid w:val="7A1A0ED6"/>
    <w:rsid w:val="7A444B9F"/>
    <w:rsid w:val="7A616A9F"/>
    <w:rsid w:val="7A860D2C"/>
    <w:rsid w:val="7A882004"/>
    <w:rsid w:val="7AA02413"/>
    <w:rsid w:val="7AA30505"/>
    <w:rsid w:val="7AB2212C"/>
    <w:rsid w:val="7AC901E2"/>
    <w:rsid w:val="7AD365FA"/>
    <w:rsid w:val="7AEB7F19"/>
    <w:rsid w:val="7B1949FA"/>
    <w:rsid w:val="7B1A63FA"/>
    <w:rsid w:val="7B3C12A5"/>
    <w:rsid w:val="7B890666"/>
    <w:rsid w:val="7B8C5DC5"/>
    <w:rsid w:val="7BA95E50"/>
    <w:rsid w:val="7BCA5AD9"/>
    <w:rsid w:val="7BE21BE8"/>
    <w:rsid w:val="7C244BD7"/>
    <w:rsid w:val="7C5617DA"/>
    <w:rsid w:val="7C7724E8"/>
    <w:rsid w:val="7C7F5B26"/>
    <w:rsid w:val="7CA63313"/>
    <w:rsid w:val="7D2D1A6F"/>
    <w:rsid w:val="7D393B93"/>
    <w:rsid w:val="7D42469C"/>
    <w:rsid w:val="7D44527D"/>
    <w:rsid w:val="7D8F28CA"/>
    <w:rsid w:val="7D980435"/>
    <w:rsid w:val="7DD91369"/>
    <w:rsid w:val="7DE24F6D"/>
    <w:rsid w:val="7E0F7C25"/>
    <w:rsid w:val="7E275867"/>
    <w:rsid w:val="7E3E015F"/>
    <w:rsid w:val="7E4C71F6"/>
    <w:rsid w:val="7E5340C1"/>
    <w:rsid w:val="7E763BCF"/>
    <w:rsid w:val="7E894A6E"/>
    <w:rsid w:val="7E8B48AF"/>
    <w:rsid w:val="7E8E272F"/>
    <w:rsid w:val="7E912F70"/>
    <w:rsid w:val="7EB81E30"/>
    <w:rsid w:val="7EBC24D0"/>
    <w:rsid w:val="7ED83C89"/>
    <w:rsid w:val="7F0C622F"/>
    <w:rsid w:val="7F2E04E8"/>
    <w:rsid w:val="7F826B8B"/>
    <w:rsid w:val="7F8353E7"/>
    <w:rsid w:val="7FDC4FD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65"/>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73"/>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70"/>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link w:val="72"/>
    <w:qFormat/>
    <w:uiPriority w:val="0"/>
    <w:pPr>
      <w:spacing w:line="300" w:lineRule="auto"/>
      <w:ind w:firstLine="480" w:firstLineChars="200"/>
    </w:pPr>
    <w:rPr>
      <w:rFonts w:ascii="仿宋_GB2312" w:eastAsia="仿宋_GB2312"/>
      <w:sz w:val="24"/>
      <w:szCs w:val="21"/>
    </w:rPr>
  </w:style>
  <w:style w:type="paragraph" w:styleId="4">
    <w:name w:val="envelope return"/>
    <w:basedOn w:val="1"/>
    <w:qFormat/>
    <w:uiPriority w:val="99"/>
    <w:pPr>
      <w:snapToGrid w:val="0"/>
    </w:pPr>
    <w:rPr>
      <w:rFonts w:ascii="Arial" w:hAnsi="Arial" w:cs="Arial"/>
    </w:rPr>
  </w:style>
  <w:style w:type="paragraph" w:styleId="8">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9">
    <w:name w:val="Document Map"/>
    <w:basedOn w:val="1"/>
    <w:link w:val="69"/>
    <w:semiHidden/>
    <w:qFormat/>
    <w:uiPriority w:val="0"/>
    <w:pPr>
      <w:shd w:val="clear" w:color="auto" w:fill="000080"/>
    </w:pPr>
  </w:style>
  <w:style w:type="paragraph" w:styleId="10">
    <w:name w:val="annotation text"/>
    <w:basedOn w:val="1"/>
    <w:link w:val="68"/>
    <w:unhideWhenUsed/>
    <w:qFormat/>
    <w:uiPriority w:val="0"/>
    <w:pPr>
      <w:jc w:val="left"/>
    </w:pPr>
  </w:style>
  <w:style w:type="paragraph" w:styleId="11">
    <w:name w:val="Body Text"/>
    <w:basedOn w:val="1"/>
    <w:link w:val="60"/>
    <w:unhideWhenUsed/>
    <w:qFormat/>
    <w:uiPriority w:val="0"/>
    <w:pPr>
      <w:spacing w:after="120"/>
    </w:pPr>
  </w:style>
  <w:style w:type="paragraph" w:styleId="12">
    <w:name w:val="toc 3"/>
    <w:basedOn w:val="1"/>
    <w:next w:val="1"/>
    <w:semiHidden/>
    <w:qFormat/>
    <w:uiPriority w:val="0"/>
    <w:pPr>
      <w:ind w:left="840" w:leftChars="400"/>
    </w:pPr>
  </w:style>
  <w:style w:type="paragraph" w:styleId="13">
    <w:name w:val="Plain Text"/>
    <w:basedOn w:val="1"/>
    <w:link w:val="64"/>
    <w:unhideWhenUsed/>
    <w:qFormat/>
    <w:uiPriority w:val="0"/>
    <w:rPr>
      <w:rFonts w:ascii="宋体" w:hAnsi="Courier New"/>
      <w:szCs w:val="20"/>
    </w:rPr>
  </w:style>
  <w:style w:type="paragraph" w:styleId="14">
    <w:name w:val="Date"/>
    <w:basedOn w:val="1"/>
    <w:next w:val="1"/>
    <w:link w:val="59"/>
    <w:qFormat/>
    <w:uiPriority w:val="0"/>
    <w:pPr>
      <w:widowControl/>
      <w:ind w:left="100" w:leftChars="2500"/>
      <w:jc w:val="left"/>
    </w:pPr>
    <w:rPr>
      <w:rFonts w:ascii="黑体" w:hAnsi="宋体" w:eastAsia="黑体"/>
      <w:b/>
      <w:bCs/>
      <w:color w:val="000000"/>
      <w:kern w:val="0"/>
      <w:sz w:val="44"/>
      <w:szCs w:val="36"/>
    </w:rPr>
  </w:style>
  <w:style w:type="paragraph" w:styleId="15">
    <w:name w:val="Body Text Indent 2"/>
    <w:basedOn w:val="1"/>
    <w:link w:val="71"/>
    <w:qFormat/>
    <w:uiPriority w:val="0"/>
    <w:pPr>
      <w:spacing w:after="120" w:line="480" w:lineRule="auto"/>
      <w:ind w:left="420" w:leftChars="200"/>
    </w:pPr>
  </w:style>
  <w:style w:type="paragraph" w:styleId="16">
    <w:name w:val="Balloon Text"/>
    <w:basedOn w:val="1"/>
    <w:link w:val="62"/>
    <w:semiHidden/>
    <w:qFormat/>
    <w:uiPriority w:val="0"/>
    <w:rPr>
      <w:sz w:val="18"/>
      <w:szCs w:val="18"/>
    </w:rPr>
  </w:style>
  <w:style w:type="paragraph" w:styleId="17">
    <w:name w:val="footer"/>
    <w:basedOn w:val="1"/>
    <w:link w:val="61"/>
    <w:qFormat/>
    <w:uiPriority w:val="0"/>
    <w:pPr>
      <w:tabs>
        <w:tab w:val="center" w:pos="4153"/>
        <w:tab w:val="right" w:pos="8306"/>
      </w:tabs>
      <w:snapToGrid w:val="0"/>
      <w:jc w:val="left"/>
    </w:pPr>
    <w:rPr>
      <w:sz w:val="18"/>
    </w:rPr>
  </w:style>
  <w:style w:type="paragraph" w:styleId="18">
    <w:name w:val="header"/>
    <w:basedOn w:val="1"/>
    <w:link w:val="5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semiHidden/>
    <w:qFormat/>
    <w:uiPriority w:val="0"/>
  </w:style>
  <w:style w:type="paragraph" w:styleId="20">
    <w:name w:val="toc 2"/>
    <w:basedOn w:val="1"/>
    <w:next w:val="1"/>
    <w:semiHidden/>
    <w:qFormat/>
    <w:uiPriority w:val="0"/>
    <w:pPr>
      <w:ind w:left="420" w:leftChars="200"/>
    </w:pPr>
  </w:style>
  <w:style w:type="paragraph" w:styleId="21">
    <w:name w:val="Normal (Web)"/>
    <w:basedOn w:val="1"/>
    <w:qFormat/>
    <w:uiPriority w:val="0"/>
    <w:pPr>
      <w:widowControl/>
      <w:spacing w:before="100" w:beforeAutospacing="1" w:after="100" w:afterAutospacing="1"/>
      <w:jc w:val="left"/>
    </w:pPr>
    <w:rPr>
      <w:rFonts w:ascii="宋体" w:hAnsi="宋体"/>
      <w:kern w:val="0"/>
      <w:sz w:val="24"/>
    </w:rPr>
  </w:style>
  <w:style w:type="paragraph" w:styleId="22">
    <w:name w:val="Body Text First Indent"/>
    <w:basedOn w:val="11"/>
    <w:link w:val="63"/>
    <w:qFormat/>
    <w:uiPriority w:val="0"/>
    <w:pPr>
      <w:ind w:firstLine="420" w:firstLineChars="100"/>
    </w:pPr>
  </w:style>
  <w:style w:type="table" w:styleId="24">
    <w:name w:val="Table Grid"/>
    <w:basedOn w:val="23"/>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unhideWhenUsed/>
    <w:qFormat/>
    <w:uiPriority w:val="0"/>
  </w:style>
  <w:style w:type="character" w:styleId="28">
    <w:name w:val="FollowedHyperlink"/>
    <w:unhideWhenUsed/>
    <w:qFormat/>
    <w:uiPriority w:val="99"/>
    <w:rPr>
      <w:color w:val="800080"/>
      <w:u w:val="none"/>
    </w:rPr>
  </w:style>
  <w:style w:type="character" w:styleId="29">
    <w:name w:val="Emphasis"/>
    <w:qFormat/>
    <w:uiPriority w:val="20"/>
    <w:rPr>
      <w:b/>
    </w:rPr>
  </w:style>
  <w:style w:type="character" w:styleId="30">
    <w:name w:val="HTML Definition"/>
    <w:basedOn w:val="25"/>
    <w:unhideWhenUsed/>
    <w:qFormat/>
    <w:uiPriority w:val="99"/>
  </w:style>
  <w:style w:type="character" w:styleId="31">
    <w:name w:val="HTML Typewriter"/>
    <w:unhideWhenUsed/>
    <w:qFormat/>
    <w:uiPriority w:val="99"/>
    <w:rPr>
      <w:rFonts w:hint="default" w:ascii="monospace" w:hAnsi="monospace" w:eastAsia="monospace" w:cs="monospace"/>
      <w:sz w:val="20"/>
    </w:rPr>
  </w:style>
  <w:style w:type="character" w:styleId="32">
    <w:name w:val="HTML Acronym"/>
    <w:unhideWhenUsed/>
    <w:qFormat/>
    <w:uiPriority w:val="99"/>
    <w:rPr>
      <w:vanish/>
    </w:rPr>
  </w:style>
  <w:style w:type="character" w:styleId="33">
    <w:name w:val="HTML Variable"/>
    <w:basedOn w:val="25"/>
    <w:unhideWhenUsed/>
    <w:qFormat/>
    <w:uiPriority w:val="99"/>
  </w:style>
  <w:style w:type="character" w:styleId="34">
    <w:name w:val="Hyperlink"/>
    <w:basedOn w:val="25"/>
    <w:qFormat/>
    <w:uiPriority w:val="0"/>
    <w:rPr>
      <w:color w:val="0000FF"/>
      <w:u w:val="none"/>
    </w:rPr>
  </w:style>
  <w:style w:type="character" w:styleId="35">
    <w:name w:val="HTML Code"/>
    <w:unhideWhenUsed/>
    <w:qFormat/>
    <w:uiPriority w:val="99"/>
    <w:rPr>
      <w:rFonts w:ascii="monospace" w:hAnsi="monospace" w:eastAsia="monospace" w:cs="monospace"/>
      <w:sz w:val="20"/>
    </w:rPr>
  </w:style>
  <w:style w:type="character" w:styleId="36">
    <w:name w:val="HTML Cite"/>
    <w:basedOn w:val="25"/>
    <w:unhideWhenUsed/>
    <w:qFormat/>
    <w:uiPriority w:val="99"/>
  </w:style>
  <w:style w:type="character" w:styleId="37">
    <w:name w:val="HTML Keyboard"/>
    <w:unhideWhenUsed/>
    <w:qFormat/>
    <w:uiPriority w:val="99"/>
    <w:rPr>
      <w:rFonts w:hint="default" w:ascii="monospace" w:hAnsi="monospace" w:eastAsia="monospace" w:cs="monospace"/>
      <w:sz w:val="20"/>
    </w:rPr>
  </w:style>
  <w:style w:type="character" w:styleId="38">
    <w:name w:val="HTML Sample"/>
    <w:unhideWhenUsed/>
    <w:qFormat/>
    <w:uiPriority w:val="99"/>
    <w:rPr>
      <w:rFonts w:hint="default" w:ascii="monospace" w:hAnsi="monospace" w:eastAsia="monospace" w:cs="monospace"/>
    </w:rPr>
  </w:style>
  <w:style w:type="paragraph" w:customStyle="1" w:styleId="39">
    <w:name w:val="正文 1.1.1"/>
    <w:basedOn w:val="1"/>
    <w:next w:val="1"/>
    <w:qFormat/>
    <w:uiPriority w:val="0"/>
    <w:pPr>
      <w:tabs>
        <w:tab w:val="left" w:pos="851"/>
      </w:tabs>
      <w:outlineLvl w:val="2"/>
    </w:pPr>
    <w:rPr>
      <w:rFonts w:hAnsi="宋体"/>
      <w:color w:val="FF0000"/>
    </w:rPr>
  </w:style>
  <w:style w:type="paragraph" w:customStyle="1" w:styleId="40">
    <w:name w:val="Blockquote"/>
    <w:basedOn w:val="1"/>
    <w:qFormat/>
    <w:uiPriority w:val="0"/>
    <w:pPr>
      <w:autoSpaceDE w:val="0"/>
      <w:autoSpaceDN w:val="0"/>
      <w:adjustRightInd w:val="0"/>
      <w:spacing w:before="100" w:after="100"/>
      <w:ind w:left="360" w:right="360"/>
      <w:jc w:val="left"/>
    </w:pPr>
    <w:rPr>
      <w:kern w:val="0"/>
      <w:sz w:val="24"/>
      <w:szCs w:val="20"/>
    </w:rPr>
  </w:style>
  <w:style w:type="paragraph" w:styleId="41">
    <w:name w:val="List Paragraph"/>
    <w:basedOn w:val="1"/>
    <w:qFormat/>
    <w:uiPriority w:val="0"/>
    <w:pPr>
      <w:ind w:firstLine="420" w:firstLineChars="200"/>
    </w:pPr>
    <w:rPr>
      <w:rFonts w:ascii="Calibri" w:hAnsi="Calibri"/>
      <w:szCs w:val="22"/>
    </w:rPr>
  </w:style>
  <w:style w:type="paragraph" w:customStyle="1" w:styleId="42">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
    <w:name w:val="Char Char Char"/>
    <w:basedOn w:val="1"/>
    <w:qFormat/>
    <w:uiPriority w:val="0"/>
    <w:rPr>
      <w:rFonts w:ascii="Tahoma" w:hAnsi="Tahoma"/>
      <w:sz w:val="24"/>
      <w:szCs w:val="20"/>
    </w:rPr>
  </w:style>
  <w:style w:type="paragraph" w:customStyle="1" w:styleId="44">
    <w:name w:val="Char_0"/>
    <w:basedOn w:val="45"/>
    <w:qFormat/>
    <w:uiPriority w:val="0"/>
    <w:rPr>
      <w:rFonts w:ascii="Times New Roman" w:hAnsi="Times New Roman"/>
      <w:szCs w:val="24"/>
    </w:rPr>
  </w:style>
  <w:style w:type="paragraph" w:customStyle="1" w:styleId="4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目录"/>
    <w:basedOn w:val="1"/>
    <w:qFormat/>
    <w:uiPriority w:val="0"/>
    <w:pPr>
      <w:widowControl/>
      <w:jc w:val="center"/>
    </w:pPr>
    <w:rPr>
      <w:rFonts w:ascii="宋体"/>
      <w:b/>
      <w:kern w:val="0"/>
      <w:sz w:val="36"/>
    </w:rPr>
  </w:style>
  <w:style w:type="paragraph" w:customStyle="1" w:styleId="47">
    <w:name w:val="正文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49">
    <w:name w:val="样式2"/>
    <w:basedOn w:val="1"/>
    <w:link w:val="67"/>
    <w:qFormat/>
    <w:uiPriority w:val="0"/>
    <w:pPr>
      <w:spacing w:line="600" w:lineRule="exact"/>
    </w:pPr>
    <w:rPr>
      <w:rFonts w:ascii="仿宋_GB2312" w:hAnsi="宋体" w:eastAsia="仿宋_GB2312"/>
      <w:b/>
      <w:sz w:val="32"/>
      <w:szCs w:val="32"/>
    </w:rPr>
  </w:style>
  <w:style w:type="paragraph" w:customStyle="1" w:styleId="50">
    <w:name w:val="Char_0_0"/>
    <w:basedOn w:val="45"/>
    <w:qFormat/>
    <w:uiPriority w:val="0"/>
    <w:rPr>
      <w:rFonts w:ascii="Times New Roman" w:hAnsi="Times New Roman"/>
      <w:szCs w:val="24"/>
    </w:rPr>
  </w:style>
  <w:style w:type="paragraph" w:customStyle="1" w:styleId="51">
    <w:name w:val="正文空2格  1."/>
    <w:basedOn w:val="1"/>
    <w:qFormat/>
    <w:uiPriority w:val="0"/>
    <w:pPr>
      <w:ind w:firstLine="480" w:firstLineChars="200"/>
    </w:pPr>
    <w:rPr>
      <w:rFonts w:cs="宋体"/>
      <w:sz w:val="28"/>
      <w:szCs w:val="20"/>
    </w:rPr>
  </w:style>
  <w:style w:type="paragraph" w:customStyle="1" w:styleId="52">
    <w:name w:val="正文1"/>
    <w:qFormat/>
    <w:uiPriority w:val="0"/>
    <w:rPr>
      <w:rFonts w:ascii="Times New Roman" w:hAnsi="Times New Roman" w:eastAsia="Times New Roman" w:cs="Times New Roman"/>
      <w:sz w:val="24"/>
      <w:szCs w:val="24"/>
      <w:lang w:val="en-US" w:eastAsia="zh-CN" w:bidi="ar-SA"/>
    </w:rPr>
  </w:style>
  <w:style w:type="paragraph" w:customStyle="1" w:styleId="53">
    <w:name w:val="Char Char Char Char Char Char Char1 Char Char Char Char Char Char Char"/>
    <w:basedOn w:val="1"/>
    <w:qFormat/>
    <w:uiPriority w:val="0"/>
    <w:rPr>
      <w:rFonts w:ascii="Tahoma" w:hAnsi="Tahoma"/>
      <w:sz w:val="24"/>
      <w:szCs w:val="20"/>
    </w:rPr>
  </w:style>
  <w:style w:type="paragraph" w:customStyle="1" w:styleId="54">
    <w:name w:val="Char"/>
    <w:basedOn w:val="1"/>
    <w:qFormat/>
    <w:uiPriority w:val="0"/>
    <w:rPr>
      <w:rFonts w:ascii="Tahoma" w:hAnsi="Tahoma"/>
      <w:sz w:val="24"/>
      <w:szCs w:val="20"/>
    </w:rPr>
  </w:style>
  <w:style w:type="paragraph" w:customStyle="1" w:styleId="55">
    <w:name w:val="默认段落字体 Para Char Char Char Char Char Char Char Char Char1 Char Char Char Char Char Char Char Char"/>
    <w:basedOn w:val="9"/>
    <w:qFormat/>
    <w:uiPriority w:val="0"/>
  </w:style>
  <w:style w:type="paragraph" w:customStyle="1" w:styleId="56">
    <w:name w:val="1 Char"/>
    <w:basedOn w:val="1"/>
    <w:qFormat/>
    <w:uiPriority w:val="0"/>
    <w:pPr>
      <w:spacing w:line="360" w:lineRule="auto"/>
      <w:ind w:firstLine="200" w:firstLineChars="200"/>
    </w:pPr>
  </w:style>
  <w:style w:type="paragraph" w:customStyle="1" w:styleId="57">
    <w:name w:val="Normal_0"/>
    <w:qFormat/>
    <w:uiPriority w:val="0"/>
    <w:rPr>
      <w:rFonts w:ascii="Times New Roman" w:hAnsi="Times New Roman" w:eastAsia="Times New Roman" w:cs="Times New Roman"/>
      <w:sz w:val="24"/>
      <w:szCs w:val="24"/>
      <w:lang w:val="en-US" w:eastAsia="zh-CN" w:bidi="ar-SA"/>
    </w:rPr>
  </w:style>
  <w:style w:type="character" w:customStyle="1" w:styleId="58">
    <w:name w:val="页眉字符"/>
    <w:link w:val="18"/>
    <w:qFormat/>
    <w:uiPriority w:val="99"/>
    <w:rPr>
      <w:kern w:val="2"/>
      <w:sz w:val="18"/>
      <w:szCs w:val="24"/>
    </w:rPr>
  </w:style>
  <w:style w:type="character" w:customStyle="1" w:styleId="59">
    <w:name w:val="日期字符"/>
    <w:link w:val="14"/>
    <w:qFormat/>
    <w:uiPriority w:val="0"/>
    <w:rPr>
      <w:rFonts w:ascii="黑体" w:hAnsi="宋体" w:eastAsia="黑体"/>
      <w:b/>
      <w:bCs/>
      <w:color w:val="000000"/>
      <w:sz w:val="44"/>
      <w:szCs w:val="36"/>
    </w:rPr>
  </w:style>
  <w:style w:type="character" w:customStyle="1" w:styleId="60">
    <w:name w:val="正文文本字符"/>
    <w:link w:val="11"/>
    <w:qFormat/>
    <w:uiPriority w:val="0"/>
    <w:rPr>
      <w:kern w:val="2"/>
      <w:sz w:val="21"/>
      <w:szCs w:val="24"/>
    </w:rPr>
  </w:style>
  <w:style w:type="character" w:customStyle="1" w:styleId="61">
    <w:name w:val="页脚字符"/>
    <w:link w:val="17"/>
    <w:qFormat/>
    <w:uiPriority w:val="0"/>
    <w:rPr>
      <w:kern w:val="2"/>
      <w:sz w:val="18"/>
      <w:szCs w:val="24"/>
    </w:rPr>
  </w:style>
  <w:style w:type="character" w:customStyle="1" w:styleId="62">
    <w:name w:val="批注框文本字符"/>
    <w:link w:val="16"/>
    <w:semiHidden/>
    <w:qFormat/>
    <w:uiPriority w:val="0"/>
    <w:rPr>
      <w:kern w:val="2"/>
      <w:sz w:val="18"/>
      <w:szCs w:val="18"/>
    </w:rPr>
  </w:style>
  <w:style w:type="character" w:customStyle="1" w:styleId="63">
    <w:name w:val="正文首行缩进字符"/>
    <w:link w:val="22"/>
    <w:qFormat/>
    <w:uiPriority w:val="0"/>
    <w:rPr>
      <w:kern w:val="2"/>
      <w:sz w:val="21"/>
      <w:szCs w:val="24"/>
    </w:rPr>
  </w:style>
  <w:style w:type="character" w:customStyle="1" w:styleId="64">
    <w:name w:val="纯文本字符"/>
    <w:link w:val="13"/>
    <w:qFormat/>
    <w:uiPriority w:val="0"/>
    <w:rPr>
      <w:rFonts w:ascii="宋体" w:hAnsi="Courier New"/>
      <w:kern w:val="2"/>
      <w:sz w:val="21"/>
    </w:rPr>
  </w:style>
  <w:style w:type="character" w:customStyle="1" w:styleId="65">
    <w:name w:val="标题 1字符"/>
    <w:link w:val="5"/>
    <w:qFormat/>
    <w:uiPriority w:val="0"/>
    <w:rPr>
      <w:b/>
      <w:bCs/>
      <w:kern w:val="44"/>
      <w:sz w:val="44"/>
      <w:szCs w:val="44"/>
    </w:rPr>
  </w:style>
  <w:style w:type="character" w:customStyle="1" w:styleId="66">
    <w:name w:val="页眉 Char1"/>
    <w:semiHidden/>
    <w:qFormat/>
    <w:uiPriority w:val="99"/>
    <w:rPr>
      <w:kern w:val="2"/>
      <w:sz w:val="18"/>
      <w:szCs w:val="18"/>
    </w:rPr>
  </w:style>
  <w:style w:type="character" w:customStyle="1" w:styleId="67">
    <w:name w:val="样式2 Char Char"/>
    <w:link w:val="49"/>
    <w:qFormat/>
    <w:uiPriority w:val="0"/>
    <w:rPr>
      <w:rFonts w:ascii="仿宋_GB2312" w:hAnsi="宋体" w:eastAsia="仿宋_GB2312"/>
      <w:b/>
      <w:kern w:val="2"/>
      <w:sz w:val="32"/>
      <w:szCs w:val="32"/>
    </w:rPr>
  </w:style>
  <w:style w:type="character" w:customStyle="1" w:styleId="68">
    <w:name w:val="注释文本字符"/>
    <w:link w:val="10"/>
    <w:qFormat/>
    <w:uiPriority w:val="0"/>
    <w:rPr>
      <w:kern w:val="2"/>
      <w:sz w:val="21"/>
      <w:szCs w:val="24"/>
    </w:rPr>
  </w:style>
  <w:style w:type="character" w:customStyle="1" w:styleId="69">
    <w:name w:val="文档结构图 字符"/>
    <w:link w:val="9"/>
    <w:semiHidden/>
    <w:qFormat/>
    <w:uiPriority w:val="0"/>
    <w:rPr>
      <w:kern w:val="2"/>
      <w:sz w:val="21"/>
      <w:szCs w:val="24"/>
      <w:shd w:val="clear" w:color="auto" w:fill="000080"/>
    </w:rPr>
  </w:style>
  <w:style w:type="character" w:customStyle="1" w:styleId="70">
    <w:name w:val="标题 3字符"/>
    <w:link w:val="7"/>
    <w:qFormat/>
    <w:uiPriority w:val="0"/>
    <w:rPr>
      <w:b/>
      <w:bCs/>
      <w:kern w:val="2"/>
      <w:sz w:val="32"/>
      <w:szCs w:val="32"/>
    </w:rPr>
  </w:style>
  <w:style w:type="character" w:customStyle="1" w:styleId="71">
    <w:name w:val="正文文本缩进 2字符"/>
    <w:link w:val="15"/>
    <w:qFormat/>
    <w:uiPriority w:val="0"/>
    <w:rPr>
      <w:kern w:val="2"/>
      <w:sz w:val="21"/>
      <w:szCs w:val="24"/>
    </w:rPr>
  </w:style>
  <w:style w:type="character" w:customStyle="1" w:styleId="72">
    <w:name w:val="正文文本缩进字符"/>
    <w:link w:val="3"/>
    <w:qFormat/>
    <w:uiPriority w:val="0"/>
    <w:rPr>
      <w:rFonts w:ascii="仿宋_GB2312" w:eastAsia="仿宋_GB2312"/>
      <w:kern w:val="2"/>
      <w:sz w:val="24"/>
      <w:szCs w:val="21"/>
    </w:rPr>
  </w:style>
  <w:style w:type="character" w:customStyle="1" w:styleId="73">
    <w:name w:val="标题 2字符"/>
    <w:link w:val="6"/>
    <w:qFormat/>
    <w:uiPriority w:val="0"/>
    <w:rPr>
      <w:rFonts w:ascii="Arial" w:hAnsi="Arial" w:eastAsia="黑体"/>
      <w:b/>
      <w:bCs/>
      <w:kern w:val="2"/>
      <w:sz w:val="32"/>
      <w:szCs w:val="32"/>
    </w:rPr>
  </w:style>
  <w:style w:type="paragraph" w:customStyle="1" w:styleId="74">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0正文"/>
    <w:basedOn w:val="1"/>
    <w:qFormat/>
    <w:uiPriority w:val="0"/>
    <w:pPr>
      <w:adjustRightInd w:val="0"/>
      <w:spacing w:line="360" w:lineRule="auto"/>
      <w:ind w:firstLine="420" w:firstLineChars="200"/>
      <w:textAlignment w:val="baseline"/>
    </w:pPr>
    <w:rPr>
      <w:rFonts w:ascii="宋体" w:hAnsi="宋体"/>
      <w:kern w:val="0"/>
      <w:sz w:val="20"/>
      <w:szCs w:val="21"/>
    </w:rPr>
  </w:style>
  <w:style w:type="paragraph" w:customStyle="1" w:styleId="76">
    <w:name w:val="列出段落3"/>
    <w:basedOn w:val="1"/>
    <w:qFormat/>
    <w:uiPriority w:val="99"/>
    <w:pPr>
      <w:ind w:firstLine="420" w:firstLineChars="200"/>
    </w:pPr>
    <w:rPr>
      <w:rFonts w:ascii="Calibri" w:hAnsi="Calibri"/>
      <w:szCs w:val="22"/>
    </w:rPr>
  </w:style>
  <w:style w:type="paragraph" w:customStyle="1" w:styleId="77">
    <w:name w:val="--规划正文"/>
    <w:basedOn w:val="1"/>
    <w:qFormat/>
    <w:uiPriority w:val="0"/>
    <w:pPr>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2682</Words>
  <Characters>15292</Characters>
  <Lines>127</Lines>
  <Paragraphs>35</Paragraphs>
  <TotalTime>7</TotalTime>
  <ScaleCrop>false</ScaleCrop>
  <LinksUpToDate>false</LinksUpToDate>
  <CharactersWithSpaces>17939</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2020-03-31T08:57:00Z</dcterms:created>
  <dc:creator>Administrator</dc:creator>
  <cp:lastModifiedBy>lenovo</cp:lastModifiedBy>
  <cp:lastPrinted>2020-04-17T03:50:00Z</cp:lastPrinted>
  <dcterms:modified xsi:type="dcterms:W3CDTF">2020-04-21T06:30:23Z</dcterms:modified>
  <dc:title>芜湖市轨道交通2号线一期PPP项目咨询服务招标需求(暂定）</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