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rPr>
          <w:rFonts w:ascii="宋体" w:hAnsi="宋体"/>
          <w:sz w:val="44"/>
          <w:szCs w:val="44"/>
        </w:rPr>
      </w:pPr>
    </w:p>
    <w:p>
      <w:pPr>
        <w:spacing w:line="300" w:lineRule="auto"/>
        <w:jc w:val="center"/>
        <w:rPr>
          <w:rFonts w:ascii="黑体"/>
          <w:b/>
          <w:bCs/>
          <w:sz w:val="36"/>
          <w:szCs w:val="36"/>
        </w:rPr>
      </w:pPr>
      <w:r>
        <w:rPr>
          <w:rFonts w:hint="eastAsia" w:ascii="黑体"/>
          <w:b/>
          <w:bCs/>
          <w:sz w:val="36"/>
          <w:szCs w:val="36"/>
        </w:rPr>
        <w:t>芜湖市全域旅游廊道体系规划编制项目竞争性磋商文件</w:t>
      </w:r>
    </w:p>
    <w:p>
      <w:pPr>
        <w:widowControl/>
        <w:shd w:val="clear" w:color="auto" w:fill="FFFFFF"/>
        <w:wordWrap w:val="0"/>
        <w:spacing w:before="150" w:after="150"/>
        <w:ind w:left="2890" w:hanging="2890" w:hangingChars="900"/>
        <w:jc w:val="center"/>
        <w:rPr>
          <w:rFonts w:ascii="仿宋_GB2312" w:hAnsi="DotumChe" w:cs="宋体"/>
          <w:b/>
          <w:spacing w:val="20"/>
          <w:sz w:val="28"/>
          <w:szCs w:val="28"/>
          <w:highlight w:val="white"/>
        </w:rPr>
      </w:pPr>
      <w:r>
        <w:rPr>
          <w:rFonts w:hint="eastAsia" w:ascii="仿宋_GB2312" w:hAnsi="DotumChe" w:cs="宋体"/>
          <w:b/>
          <w:spacing w:val="20"/>
          <w:sz w:val="28"/>
          <w:szCs w:val="28"/>
          <w:highlight w:val="white"/>
        </w:rPr>
        <w:t>(项目编号：AHQS-WH-20200506）</w:t>
      </w:r>
    </w:p>
    <w:p>
      <w:pPr>
        <w:spacing w:line="560" w:lineRule="exact"/>
        <w:jc w:val="center"/>
        <w:rPr>
          <w:rFonts w:ascii="仿宋_GB2312"/>
          <w:sz w:val="28"/>
          <w:szCs w:val="28"/>
        </w:rPr>
      </w:pPr>
    </w:p>
    <w:p>
      <w:pPr>
        <w:widowControl/>
        <w:shd w:val="clear" w:color="auto" w:fill="FFFFFF"/>
        <w:wordWrap w:val="0"/>
        <w:spacing w:before="150" w:after="150"/>
        <w:jc w:val="left"/>
        <w:rPr>
          <w:rFonts w:ascii="仿宋_GB2312" w:hAnsi="宋体" w:cs="宋体"/>
          <w:b/>
          <w:spacing w:val="20"/>
          <w:sz w:val="28"/>
          <w:szCs w:val="28"/>
          <w:highlight w:val="white"/>
        </w:rPr>
      </w:pPr>
    </w:p>
    <w:p>
      <w:pPr>
        <w:widowControl/>
        <w:shd w:val="clear" w:color="auto" w:fill="FFFFFF"/>
        <w:wordWrap w:val="0"/>
        <w:spacing w:before="150" w:after="150"/>
        <w:jc w:val="left"/>
        <w:rPr>
          <w:rFonts w:ascii="仿宋_GB2312" w:hAnsi="宋体" w:cs="宋体"/>
          <w:b/>
          <w:spacing w:val="20"/>
          <w:sz w:val="28"/>
          <w:szCs w:val="28"/>
          <w:highlight w:val="white"/>
        </w:rPr>
      </w:pPr>
    </w:p>
    <w:p>
      <w:pPr>
        <w:widowControl/>
        <w:shd w:val="clear" w:color="auto" w:fill="FFFFFF"/>
        <w:wordWrap w:val="0"/>
        <w:spacing w:before="150" w:after="150"/>
        <w:jc w:val="left"/>
        <w:rPr>
          <w:rFonts w:ascii="仿宋_GB2312" w:hAnsi="宋体" w:cs="宋体"/>
          <w:b/>
          <w:spacing w:val="20"/>
          <w:sz w:val="28"/>
          <w:szCs w:val="28"/>
        </w:rPr>
      </w:pPr>
      <w:r>
        <w:rPr>
          <w:rFonts w:hint="eastAsia" w:ascii="仿宋_GB2312" w:hAnsi="DotumChe" w:cs="宋体"/>
          <w:b/>
          <w:spacing w:val="20"/>
          <w:sz w:val="28"/>
          <w:szCs w:val="28"/>
          <w:highlight w:val="white"/>
        </w:rPr>
        <w:t xml:space="preserve">          采 购 人：</w:t>
      </w:r>
      <w:r>
        <w:rPr>
          <w:rFonts w:hint="eastAsia" w:ascii="仿宋_GB2312"/>
          <w:b/>
          <w:sz w:val="28"/>
          <w:szCs w:val="28"/>
        </w:rPr>
        <w:t>芜湖市文化和旅游局</w:t>
      </w:r>
    </w:p>
    <w:p>
      <w:pPr>
        <w:spacing w:line="480" w:lineRule="auto"/>
        <w:jc w:val="left"/>
        <w:rPr>
          <w:rFonts w:ascii="仿宋_GB2312"/>
          <w:b/>
          <w:sz w:val="28"/>
          <w:szCs w:val="28"/>
        </w:rPr>
      </w:pPr>
      <w:r>
        <w:rPr>
          <w:rFonts w:hint="eastAsia" w:ascii="仿宋_GB2312"/>
          <w:b/>
          <w:sz w:val="28"/>
          <w:szCs w:val="28"/>
        </w:rPr>
        <w:t xml:space="preserve">           采购代理机构：安徽奇士建设工程咨询有限公司 </w:t>
      </w:r>
    </w:p>
    <w:p>
      <w:pPr>
        <w:spacing w:line="560" w:lineRule="exact"/>
        <w:rPr>
          <w:rFonts w:ascii="仿宋_GB2312"/>
          <w:sz w:val="28"/>
          <w:szCs w:val="28"/>
        </w:rPr>
      </w:pPr>
    </w:p>
    <w:p>
      <w:pPr>
        <w:spacing w:line="480" w:lineRule="auto"/>
        <w:jc w:val="center"/>
        <w:rPr>
          <w:rFonts w:ascii="仿宋_GB2312"/>
          <w:b/>
          <w:sz w:val="28"/>
          <w:szCs w:val="28"/>
        </w:rPr>
      </w:pPr>
      <w:r>
        <w:rPr>
          <w:rFonts w:hint="eastAsia" w:ascii="仿宋_GB2312"/>
          <w:b/>
          <w:sz w:val="28"/>
          <w:szCs w:val="28"/>
        </w:rPr>
        <w:t>2020年</w:t>
      </w:r>
      <w:r>
        <w:rPr>
          <w:rFonts w:hint="eastAsia" w:ascii="仿宋_GB2312"/>
          <w:b/>
          <w:sz w:val="28"/>
          <w:szCs w:val="28"/>
          <w:lang w:val="en-US" w:eastAsia="zh-CN"/>
        </w:rPr>
        <w:t>05</w:t>
      </w:r>
      <w:r>
        <w:rPr>
          <w:rFonts w:hint="eastAsia" w:ascii="仿宋_GB2312"/>
          <w:b/>
          <w:sz w:val="28"/>
          <w:szCs w:val="28"/>
        </w:rPr>
        <w:t>月</w:t>
      </w:r>
      <w:r>
        <w:rPr>
          <w:rFonts w:hint="eastAsia" w:ascii="仿宋_GB2312"/>
          <w:b/>
          <w:sz w:val="28"/>
          <w:szCs w:val="28"/>
          <w:lang w:val="en-US" w:eastAsia="zh-CN"/>
        </w:rPr>
        <w:t>07</w:t>
      </w:r>
      <w:r>
        <w:rPr>
          <w:rFonts w:hint="eastAsia" w:ascii="仿宋_GB2312"/>
          <w:b/>
          <w:sz w:val="28"/>
          <w:szCs w:val="28"/>
        </w:rPr>
        <w:t>日</w:t>
      </w:r>
    </w:p>
    <w:p>
      <w:pPr>
        <w:spacing w:line="560" w:lineRule="exact"/>
        <w:jc w:val="center"/>
        <w:rPr>
          <w:b/>
          <w:bCs/>
          <w:sz w:val="28"/>
          <w:szCs w:val="28"/>
        </w:rPr>
      </w:pPr>
    </w:p>
    <w:p>
      <w:pPr>
        <w:spacing w:line="560" w:lineRule="exact"/>
        <w:jc w:val="center"/>
        <w:rPr>
          <w:b/>
          <w:bCs/>
          <w:sz w:val="32"/>
          <w:szCs w:val="32"/>
        </w:rPr>
      </w:pPr>
      <w:r>
        <w:rPr>
          <w:b/>
          <w:bCs/>
          <w:sz w:val="28"/>
          <w:szCs w:val="28"/>
        </w:rPr>
        <w:br w:type="page"/>
      </w:r>
      <w:r>
        <w:rPr>
          <w:rFonts w:hint="eastAsia"/>
          <w:b/>
          <w:bCs/>
          <w:sz w:val="32"/>
          <w:szCs w:val="32"/>
        </w:rPr>
        <w:t>目   录</w:t>
      </w:r>
    </w:p>
    <w:p>
      <w:pPr>
        <w:spacing w:line="360" w:lineRule="auto"/>
        <w:ind w:firstLine="1078" w:firstLineChars="385"/>
        <w:rPr>
          <w:sz w:val="28"/>
          <w:szCs w:val="36"/>
        </w:rPr>
      </w:pPr>
    </w:p>
    <w:p>
      <w:pPr>
        <w:spacing w:line="360" w:lineRule="auto"/>
        <w:ind w:firstLine="1078" w:firstLineChars="385"/>
        <w:rPr>
          <w:sz w:val="28"/>
          <w:szCs w:val="36"/>
        </w:rPr>
      </w:pPr>
    </w:p>
    <w:p>
      <w:pPr>
        <w:spacing w:line="480" w:lineRule="auto"/>
        <w:ind w:firstLine="1078" w:firstLineChars="385"/>
        <w:rPr>
          <w:sz w:val="28"/>
          <w:szCs w:val="28"/>
        </w:rPr>
      </w:pPr>
      <w:r>
        <w:rPr>
          <w:sz w:val="28"/>
          <w:szCs w:val="36"/>
        </w:rPr>
        <w:t xml:space="preserve">第 一 章   </w:t>
      </w:r>
      <w:r>
        <w:rPr>
          <w:rFonts w:hint="eastAsia"/>
          <w:sz w:val="28"/>
          <w:szCs w:val="36"/>
        </w:rPr>
        <w:t>竞争性磋商</w:t>
      </w:r>
      <w:r>
        <w:rPr>
          <w:rFonts w:hint="eastAsia"/>
          <w:sz w:val="28"/>
          <w:szCs w:val="28"/>
        </w:rPr>
        <w:t>公告</w:t>
      </w:r>
    </w:p>
    <w:p>
      <w:pPr>
        <w:spacing w:line="480" w:lineRule="auto"/>
        <w:ind w:firstLine="1078" w:firstLineChars="385"/>
        <w:rPr>
          <w:sz w:val="28"/>
          <w:szCs w:val="36"/>
        </w:rPr>
      </w:pPr>
      <w:r>
        <w:rPr>
          <w:sz w:val="28"/>
          <w:szCs w:val="36"/>
        </w:rPr>
        <w:t>第</w:t>
      </w:r>
      <w:r>
        <w:rPr>
          <w:rFonts w:hint="eastAsia"/>
          <w:sz w:val="28"/>
          <w:szCs w:val="36"/>
        </w:rPr>
        <w:t xml:space="preserve"> </w:t>
      </w:r>
      <w:r>
        <w:rPr>
          <w:sz w:val="28"/>
          <w:szCs w:val="36"/>
        </w:rPr>
        <w:t>二</w:t>
      </w:r>
      <w:r>
        <w:rPr>
          <w:rFonts w:hint="eastAsia"/>
          <w:sz w:val="28"/>
          <w:szCs w:val="36"/>
        </w:rPr>
        <w:t xml:space="preserve"> </w:t>
      </w:r>
      <w:r>
        <w:rPr>
          <w:sz w:val="28"/>
          <w:szCs w:val="36"/>
        </w:rPr>
        <w:t>章  </w:t>
      </w:r>
      <w:r>
        <w:rPr>
          <w:rFonts w:hint="eastAsia"/>
          <w:sz w:val="28"/>
          <w:szCs w:val="36"/>
        </w:rPr>
        <w:t xml:space="preserve">  竞争性磋商须知</w:t>
      </w:r>
    </w:p>
    <w:p>
      <w:pPr>
        <w:spacing w:line="480" w:lineRule="auto"/>
        <w:ind w:firstLine="1078" w:firstLineChars="385"/>
        <w:rPr>
          <w:sz w:val="28"/>
          <w:szCs w:val="36"/>
        </w:rPr>
      </w:pPr>
      <w:r>
        <w:rPr>
          <w:rFonts w:hint="eastAsia"/>
          <w:sz w:val="28"/>
          <w:szCs w:val="36"/>
        </w:rPr>
        <w:t>第 三 章   政府采购合同</w:t>
      </w:r>
    </w:p>
    <w:p>
      <w:pPr>
        <w:spacing w:line="480" w:lineRule="auto"/>
        <w:ind w:firstLine="1078" w:firstLineChars="385"/>
        <w:rPr>
          <w:sz w:val="28"/>
          <w:szCs w:val="36"/>
        </w:rPr>
      </w:pPr>
      <w:r>
        <w:rPr>
          <w:sz w:val="28"/>
          <w:szCs w:val="36"/>
        </w:rPr>
        <w:t xml:space="preserve">第 </w:t>
      </w:r>
      <w:r>
        <w:rPr>
          <w:rFonts w:hint="eastAsia"/>
          <w:sz w:val="28"/>
          <w:szCs w:val="36"/>
        </w:rPr>
        <w:t>四</w:t>
      </w:r>
      <w:r>
        <w:rPr>
          <w:sz w:val="28"/>
          <w:szCs w:val="36"/>
        </w:rPr>
        <w:t xml:space="preserve"> 章   </w:t>
      </w:r>
      <w:r>
        <w:rPr>
          <w:rFonts w:hint="eastAsia"/>
          <w:sz w:val="28"/>
          <w:szCs w:val="36"/>
        </w:rPr>
        <w:t xml:space="preserve"> 采购项目需求及具体要求</w:t>
      </w:r>
    </w:p>
    <w:p>
      <w:pPr>
        <w:spacing w:line="480" w:lineRule="auto"/>
        <w:ind w:firstLine="1078" w:firstLineChars="385"/>
        <w:rPr>
          <w:sz w:val="28"/>
          <w:szCs w:val="36"/>
        </w:rPr>
      </w:pPr>
      <w:r>
        <w:rPr>
          <w:rFonts w:hint="eastAsia"/>
          <w:sz w:val="28"/>
          <w:szCs w:val="36"/>
        </w:rPr>
        <w:t>第 五 章   评审程序、方法及标准</w:t>
      </w:r>
    </w:p>
    <w:p>
      <w:pPr>
        <w:spacing w:line="480" w:lineRule="auto"/>
        <w:ind w:firstLine="1078" w:firstLineChars="385"/>
        <w:rPr>
          <w:sz w:val="28"/>
          <w:szCs w:val="28"/>
        </w:rPr>
      </w:pPr>
      <w:r>
        <w:rPr>
          <w:rFonts w:hint="eastAsia"/>
          <w:sz w:val="28"/>
          <w:szCs w:val="36"/>
        </w:rPr>
        <w:t>第 六 章   响应文件格式</w:t>
      </w:r>
    </w:p>
    <w:p>
      <w:pPr>
        <w:pStyle w:val="11"/>
        <w:rPr>
          <w:sz w:val="32"/>
        </w:rPr>
      </w:pPr>
    </w:p>
    <w:p>
      <w:pPr>
        <w:pStyle w:val="11"/>
        <w:rPr>
          <w:sz w:val="32"/>
        </w:rPr>
      </w:pPr>
    </w:p>
    <w:p>
      <w:pPr>
        <w:pStyle w:val="11"/>
        <w:rPr>
          <w:sz w:val="32"/>
        </w:rPr>
      </w:pPr>
    </w:p>
    <w:p>
      <w:pPr>
        <w:pStyle w:val="11"/>
        <w:rPr>
          <w:sz w:val="32"/>
        </w:rPr>
      </w:pPr>
    </w:p>
    <w:p>
      <w:pPr>
        <w:pStyle w:val="11"/>
        <w:rPr>
          <w:sz w:val="32"/>
        </w:rPr>
      </w:pPr>
    </w:p>
    <w:p>
      <w:pPr>
        <w:pStyle w:val="11"/>
        <w:rPr>
          <w:sz w:val="32"/>
        </w:rPr>
      </w:pPr>
    </w:p>
    <w:p>
      <w:pPr>
        <w:rPr>
          <w:rFonts w:ascii="黑体" w:eastAsia="黑体"/>
          <w:sz w:val="84"/>
          <w:szCs w:val="72"/>
        </w:rPr>
      </w:pPr>
    </w:p>
    <w:p>
      <w:pPr>
        <w:pStyle w:val="11"/>
        <w:spacing w:line="360" w:lineRule="exact"/>
        <w:rPr>
          <w:sz w:val="30"/>
          <w:szCs w:val="30"/>
        </w:rPr>
      </w:pPr>
    </w:p>
    <w:p>
      <w:pPr>
        <w:pStyle w:val="11"/>
        <w:spacing w:line="360" w:lineRule="exact"/>
        <w:rPr>
          <w:sz w:val="30"/>
          <w:szCs w:val="30"/>
        </w:rPr>
      </w:pPr>
    </w:p>
    <w:p>
      <w:pPr>
        <w:pStyle w:val="11"/>
        <w:spacing w:line="360" w:lineRule="exact"/>
        <w:rPr>
          <w:sz w:val="30"/>
          <w:szCs w:val="30"/>
        </w:rPr>
      </w:pPr>
    </w:p>
    <w:p>
      <w:pPr>
        <w:pStyle w:val="11"/>
        <w:spacing w:line="360" w:lineRule="exact"/>
        <w:rPr>
          <w:sz w:val="30"/>
          <w:szCs w:val="30"/>
        </w:rPr>
      </w:pPr>
    </w:p>
    <w:p>
      <w:pPr>
        <w:pStyle w:val="11"/>
        <w:spacing w:line="360" w:lineRule="exact"/>
        <w:rPr>
          <w:sz w:val="30"/>
          <w:szCs w:val="30"/>
        </w:rPr>
      </w:pPr>
    </w:p>
    <w:p>
      <w:pPr>
        <w:pStyle w:val="11"/>
        <w:spacing w:line="360" w:lineRule="exact"/>
        <w:rPr>
          <w:sz w:val="30"/>
          <w:szCs w:val="30"/>
        </w:rPr>
      </w:pPr>
    </w:p>
    <w:p>
      <w:pPr>
        <w:pStyle w:val="11"/>
        <w:numPr>
          <w:ilvl w:val="0"/>
          <w:numId w:val="1"/>
        </w:numPr>
        <w:spacing w:line="360" w:lineRule="exact"/>
        <w:jc w:val="center"/>
        <w:rPr>
          <w:sz w:val="28"/>
          <w:szCs w:val="28"/>
          <w:highlight w:val="none"/>
        </w:rPr>
      </w:pPr>
      <w:r>
        <w:rPr>
          <w:rFonts w:hint="eastAsia"/>
          <w:sz w:val="28"/>
          <w:szCs w:val="28"/>
          <w:highlight w:val="none"/>
        </w:rPr>
        <w:t>芜湖市全域旅游廊道体系规划编制项目竞争性磋商公告</w:t>
      </w:r>
    </w:p>
    <w:p>
      <w:pPr>
        <w:widowControl/>
        <w:snapToGrid w:val="0"/>
        <w:spacing w:before="100" w:after="100"/>
        <w:ind w:firstLine="480" w:firstLineChars="200"/>
        <w:rPr>
          <w:rFonts w:ascii="宋体" w:hAnsi="宋体" w:cs="宋体"/>
          <w:kern w:val="0"/>
          <w:sz w:val="24"/>
          <w:highlight w:val="none"/>
        </w:rPr>
      </w:pPr>
      <w:r>
        <w:rPr>
          <w:rFonts w:hint="eastAsia" w:ascii="宋体" w:hAnsi="宋体" w:cs="宋体"/>
          <w:kern w:val="0"/>
          <w:sz w:val="24"/>
          <w:highlight w:val="none"/>
        </w:rPr>
        <w:t xml:space="preserve"> 安徽奇士建设工程咨询有限公司受芜湖市文化和旅游局委托，现对芜湖市全域旅游廊道体系规划编制项目进行竞争性磋商，欢迎具备条件的国内供应商参加磋商：</w:t>
      </w:r>
    </w:p>
    <w:p>
      <w:pPr>
        <w:widowControl/>
        <w:snapToGrid w:val="0"/>
        <w:ind w:firstLine="480" w:firstLineChars="200"/>
        <w:rPr>
          <w:rFonts w:ascii="宋体" w:hAnsi="宋体" w:cs="宋体"/>
          <w:kern w:val="0"/>
          <w:sz w:val="24"/>
          <w:highlight w:val="none"/>
        </w:rPr>
      </w:pPr>
      <w:r>
        <w:rPr>
          <w:rFonts w:hint="eastAsia" w:ascii="宋体" w:hAnsi="宋体" w:cs="宋体"/>
          <w:kern w:val="0"/>
          <w:sz w:val="24"/>
          <w:highlight w:val="none"/>
        </w:rPr>
        <w:t>一、项目名称及内容：</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 xml:space="preserve">1、项目编号：AHQS-WH-20200506 </w:t>
      </w:r>
    </w:p>
    <w:p>
      <w:pPr>
        <w:ind w:firstLine="480" w:firstLineChars="200"/>
        <w:rPr>
          <w:rFonts w:ascii="宋体" w:hAnsi="宋体" w:cs="宋体"/>
          <w:kern w:val="0"/>
          <w:sz w:val="24"/>
        </w:rPr>
      </w:pPr>
      <w:r>
        <w:rPr>
          <w:rFonts w:hint="eastAsia" w:ascii="宋体" w:hAnsi="宋体" w:cs="宋体"/>
          <w:kern w:val="0"/>
          <w:sz w:val="24"/>
        </w:rPr>
        <w:t>2、项目名称：芜湖市全域旅游廊道体系规划编制项目</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3、项目单位：芜湖市文化和旅游局</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4、资金来源：政府性资金。</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5、项目预算：500000.00元。</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6、标段（包别）划分：无</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 二、供应商资格：</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1、符合《中华人民共和国政府采购法》第二十二条规定。</w:t>
      </w:r>
    </w:p>
    <w:p>
      <w:pPr>
        <w:widowControl/>
        <w:snapToGrid w:val="0"/>
        <w:spacing w:before="100" w:after="100"/>
        <w:ind w:firstLine="480" w:firstLineChars="200"/>
        <w:rPr>
          <w:rFonts w:ascii="宋体" w:hAnsi="宋体" w:cs="宋体"/>
          <w:kern w:val="0"/>
          <w:sz w:val="24"/>
          <w:highlight w:val="none"/>
        </w:rPr>
      </w:pPr>
      <w:r>
        <w:rPr>
          <w:rFonts w:hint="eastAsia" w:ascii="宋体" w:hAnsi="宋体" w:cs="宋体"/>
          <w:kern w:val="0"/>
          <w:sz w:val="24"/>
        </w:rPr>
        <w:t>2、具有独立法人</w:t>
      </w:r>
      <w:r>
        <w:rPr>
          <w:rFonts w:hint="eastAsia" w:ascii="宋体" w:hAnsi="宋体" w:cs="宋体"/>
          <w:kern w:val="0"/>
          <w:sz w:val="24"/>
          <w:highlight w:val="none"/>
        </w:rPr>
        <w:t>资格。</w:t>
      </w:r>
    </w:p>
    <w:p>
      <w:pPr>
        <w:widowControl/>
        <w:snapToGrid w:val="0"/>
        <w:spacing w:before="100" w:after="100"/>
        <w:ind w:firstLine="480" w:firstLineChars="200"/>
        <w:rPr>
          <w:rFonts w:ascii="宋体" w:hAnsi="宋体" w:cs="宋体"/>
          <w:kern w:val="0"/>
          <w:sz w:val="24"/>
          <w:highlight w:val="none"/>
        </w:rPr>
      </w:pPr>
      <w:r>
        <w:rPr>
          <w:rFonts w:hint="eastAsia" w:ascii="宋体" w:hAnsi="宋体" w:cs="宋体"/>
          <w:kern w:val="0"/>
          <w:sz w:val="24"/>
          <w:highlight w:val="none"/>
        </w:rPr>
        <w:t>3、供应商资质要求：须具备旅游规划设计乙级及以上资质。</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4、本项目不接受联合体磋商。</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5、本项目禁止挂靠投标，一经发现，立即取消磋商资格，并列入不良记录名单。</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三、报名及磋商文件发售办法：</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1、磋商文件发售时间：2020年</w:t>
      </w:r>
      <w:r>
        <w:rPr>
          <w:rFonts w:hint="eastAsia" w:ascii="宋体" w:hAnsi="宋体" w:cs="宋体"/>
          <w:kern w:val="0"/>
          <w:sz w:val="24"/>
          <w:lang w:val="en-US" w:eastAsia="zh-CN"/>
        </w:rPr>
        <w:t>05</w:t>
      </w:r>
      <w:r>
        <w:rPr>
          <w:rFonts w:hint="eastAsia" w:ascii="宋体" w:hAnsi="宋体" w:cs="宋体"/>
          <w:kern w:val="0"/>
          <w:sz w:val="24"/>
        </w:rPr>
        <w:t>月</w:t>
      </w:r>
      <w:r>
        <w:rPr>
          <w:rFonts w:hint="eastAsia" w:ascii="宋体" w:hAnsi="宋体" w:cs="宋体"/>
          <w:kern w:val="0"/>
          <w:sz w:val="24"/>
          <w:lang w:val="en-US" w:eastAsia="zh-CN"/>
        </w:rPr>
        <w:t>08</w:t>
      </w:r>
      <w:r>
        <w:rPr>
          <w:rFonts w:hint="eastAsia" w:ascii="宋体" w:hAnsi="宋体" w:cs="宋体"/>
          <w:kern w:val="0"/>
          <w:sz w:val="24"/>
        </w:rPr>
        <w:t>日9:00时至2020年</w:t>
      </w:r>
      <w:r>
        <w:rPr>
          <w:rFonts w:hint="eastAsia" w:ascii="宋体" w:hAnsi="宋体" w:cs="宋体"/>
          <w:kern w:val="0"/>
          <w:sz w:val="24"/>
          <w:lang w:val="en-US" w:eastAsia="zh-CN"/>
        </w:rPr>
        <w:t>05</w:t>
      </w:r>
      <w:r>
        <w:rPr>
          <w:rFonts w:hint="eastAsia" w:ascii="宋体" w:hAnsi="宋体" w:cs="宋体"/>
          <w:kern w:val="0"/>
          <w:sz w:val="24"/>
        </w:rPr>
        <w:t>月</w:t>
      </w:r>
      <w:r>
        <w:rPr>
          <w:rFonts w:hint="eastAsia" w:ascii="宋体" w:hAnsi="宋体" w:cs="宋体"/>
          <w:kern w:val="0"/>
          <w:sz w:val="24"/>
          <w:lang w:val="en-US" w:eastAsia="zh-CN"/>
        </w:rPr>
        <w:t>13</w:t>
      </w:r>
      <w:r>
        <w:rPr>
          <w:rFonts w:hint="eastAsia" w:ascii="宋体" w:hAnsi="宋体" w:cs="宋体"/>
          <w:kern w:val="0"/>
          <w:sz w:val="24"/>
        </w:rPr>
        <w:t>日17:00时</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2、磋商文件价格：每套人民币100元整，磋商文件售后不退（仅开收据）。</w:t>
      </w:r>
    </w:p>
    <w:p>
      <w:pPr>
        <w:widowControl/>
        <w:snapToGrid w:val="0"/>
        <w:spacing w:before="100" w:after="100"/>
        <w:ind w:firstLine="480" w:firstLineChars="200"/>
        <w:rPr>
          <w:rFonts w:ascii="宋体" w:hAnsi="宋体" w:cs="宋体"/>
          <w:kern w:val="0"/>
          <w:sz w:val="24"/>
          <w:highlight w:val="none"/>
        </w:rPr>
      </w:pPr>
      <w:r>
        <w:rPr>
          <w:rFonts w:hint="eastAsia" w:ascii="宋体" w:hAnsi="宋体" w:cs="宋体"/>
          <w:kern w:val="0"/>
          <w:sz w:val="24"/>
        </w:rPr>
        <w:t>3、报名方式：凡有意参加投标的供应商应在规定的报名时间内将</w:t>
      </w:r>
      <w:r>
        <w:fldChar w:fldCharType="begin"/>
      </w:r>
      <w:r>
        <w:instrText xml:space="preserve"> HYPERLINK "mailto:%E4%B8%8A%E8%BF%B0%E6%8A%A5%E5%90%8D%E8%B5%84%E6%96%99%E6%89%AB%E6%8F%8F%E4%BB%B6%E5%8F%91%E9%80%81%E8%87%B3195894445@qq.com" </w:instrText>
      </w:r>
      <w:r>
        <w:fldChar w:fldCharType="separate"/>
      </w:r>
      <w:r>
        <w:rPr>
          <w:rFonts w:hint="eastAsia" w:ascii="宋体" w:hAnsi="宋体" w:cs="宋体"/>
          <w:kern w:val="0"/>
          <w:sz w:val="24"/>
        </w:rPr>
        <w:t>报名资料扫描件发送至</w:t>
      </w:r>
      <w:r>
        <w:rPr>
          <w:rFonts w:ascii="宋体" w:hAnsi="宋体" w:cs="宋体"/>
          <w:kern w:val="0"/>
          <w:sz w:val="24"/>
        </w:rPr>
        <w:t>1449536964@qq.com</w:t>
      </w:r>
      <w:r>
        <w:rPr>
          <w:rFonts w:ascii="宋体" w:hAnsi="宋体" w:cs="宋体"/>
          <w:kern w:val="0"/>
          <w:sz w:val="24"/>
        </w:rPr>
        <w:fldChar w:fldCharType="end"/>
      </w:r>
      <w:r>
        <w:rPr>
          <w:rFonts w:hint="eastAsia" w:ascii="宋体" w:hAnsi="宋体" w:cs="宋体"/>
          <w:kern w:val="0"/>
          <w:sz w:val="24"/>
        </w:rPr>
        <w:t>邮箱并电话告知代理机构登记报名或现场报名，报名成功由工作人员发放磋商文件电子稿。</w:t>
      </w:r>
    </w:p>
    <w:p>
      <w:pPr>
        <w:widowControl/>
        <w:snapToGrid w:val="0"/>
        <w:spacing w:before="100" w:after="100"/>
        <w:ind w:firstLine="480" w:firstLineChars="200"/>
        <w:rPr>
          <w:rFonts w:ascii="宋体" w:hAnsi="宋体" w:cs="宋体"/>
          <w:kern w:val="0"/>
          <w:sz w:val="24"/>
          <w:highlight w:val="none"/>
        </w:rPr>
      </w:pPr>
      <w:r>
        <w:rPr>
          <w:rFonts w:hint="eastAsia" w:ascii="宋体" w:hAnsi="宋体" w:cs="宋体"/>
          <w:kern w:val="0"/>
          <w:sz w:val="24"/>
          <w:highlight w:val="none"/>
        </w:rPr>
        <w:t>4、报名资料：（1）授权委托书（原件）、被授权人身份证复印件；（2）营业执照</w:t>
      </w:r>
      <w:r>
        <w:rPr>
          <w:rFonts w:hint="eastAsia" w:ascii="宋体" w:hAnsi="宋体" w:cs="宋体"/>
          <w:kern w:val="0"/>
          <w:sz w:val="24"/>
          <w:highlight w:val="none"/>
          <w:lang w:eastAsia="zh-CN"/>
        </w:rPr>
        <w:t>或事业单位法人证书</w:t>
      </w:r>
      <w:r>
        <w:rPr>
          <w:rFonts w:hint="eastAsia" w:ascii="宋体" w:hAnsi="宋体" w:cs="宋体"/>
          <w:kern w:val="0"/>
          <w:sz w:val="24"/>
          <w:highlight w:val="none"/>
        </w:rPr>
        <w:t>复印件；</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四、磋商时间及地点</w:t>
      </w:r>
    </w:p>
    <w:p>
      <w:pPr>
        <w:widowControl/>
        <w:snapToGrid w:val="0"/>
        <w:spacing w:before="100" w:after="100"/>
        <w:ind w:firstLine="480" w:firstLineChars="200"/>
        <w:rPr>
          <w:rFonts w:hint="default" w:ascii="宋体" w:hAnsi="宋体" w:eastAsia="宋体" w:cs="宋体"/>
          <w:kern w:val="0"/>
          <w:sz w:val="24"/>
          <w:lang w:val="en-US" w:eastAsia="zh-CN"/>
        </w:rPr>
      </w:pPr>
      <w:r>
        <w:rPr>
          <w:rFonts w:hint="eastAsia" w:ascii="宋体" w:hAnsi="宋体" w:cs="宋体"/>
          <w:kern w:val="0"/>
          <w:sz w:val="24"/>
        </w:rPr>
        <w:t>1、磋商时间：2020年</w:t>
      </w:r>
      <w:r>
        <w:rPr>
          <w:rFonts w:hint="eastAsia" w:ascii="宋体" w:hAnsi="宋体" w:cs="宋体"/>
          <w:kern w:val="0"/>
          <w:sz w:val="24"/>
          <w:lang w:val="en-US" w:eastAsia="zh-CN"/>
        </w:rPr>
        <w:t>05</w:t>
      </w:r>
      <w:r>
        <w:rPr>
          <w:rFonts w:hint="eastAsia" w:ascii="宋体" w:hAnsi="宋体" w:cs="宋体"/>
          <w:kern w:val="0"/>
          <w:sz w:val="24"/>
        </w:rPr>
        <w:t>月</w:t>
      </w:r>
      <w:r>
        <w:rPr>
          <w:rFonts w:hint="eastAsia" w:ascii="宋体" w:hAnsi="宋体" w:cs="宋体"/>
          <w:kern w:val="0"/>
          <w:sz w:val="24"/>
          <w:lang w:val="en-US" w:eastAsia="zh-CN"/>
        </w:rPr>
        <w:t>18</w:t>
      </w:r>
      <w:r>
        <w:rPr>
          <w:rFonts w:hint="eastAsia" w:ascii="宋体" w:hAnsi="宋体" w:cs="宋体"/>
          <w:kern w:val="0"/>
          <w:sz w:val="24"/>
        </w:rPr>
        <w:t>日</w:t>
      </w:r>
      <w:r>
        <w:rPr>
          <w:rFonts w:hint="eastAsia" w:ascii="宋体" w:hAnsi="宋体" w:cs="宋体"/>
          <w:kern w:val="0"/>
          <w:sz w:val="24"/>
          <w:lang w:val="en-US" w:eastAsia="zh-CN"/>
        </w:rPr>
        <w:t>9:30时</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2、磋商地点：芜湖市鸠江区城市之光</w:t>
      </w:r>
      <w:r>
        <w:rPr>
          <w:rFonts w:ascii="宋体" w:hAnsi="宋体" w:cs="宋体"/>
          <w:kern w:val="0"/>
          <w:sz w:val="24"/>
        </w:rPr>
        <w:t>B2</w:t>
      </w:r>
      <w:r>
        <w:rPr>
          <w:rFonts w:hint="eastAsia" w:ascii="宋体" w:hAnsi="宋体" w:cs="宋体"/>
          <w:kern w:val="0"/>
          <w:sz w:val="24"/>
        </w:rPr>
        <w:t>地块</w:t>
      </w:r>
      <w:r>
        <w:rPr>
          <w:rFonts w:ascii="宋体" w:hAnsi="宋体" w:cs="宋体"/>
          <w:kern w:val="0"/>
          <w:sz w:val="24"/>
        </w:rPr>
        <w:t>12</w:t>
      </w:r>
      <w:r>
        <w:rPr>
          <w:rFonts w:hint="eastAsia" w:ascii="宋体" w:hAnsi="宋体" w:cs="宋体"/>
          <w:kern w:val="0"/>
          <w:sz w:val="24"/>
        </w:rPr>
        <w:t>号楼</w:t>
      </w:r>
      <w:r>
        <w:rPr>
          <w:rFonts w:ascii="宋体" w:hAnsi="宋体" w:cs="宋体"/>
          <w:kern w:val="0"/>
          <w:sz w:val="24"/>
        </w:rPr>
        <w:t>520</w:t>
      </w:r>
      <w:r>
        <w:rPr>
          <w:rFonts w:hint="eastAsia" w:ascii="宋体" w:hAnsi="宋体" w:cs="宋体"/>
          <w:kern w:val="0"/>
          <w:sz w:val="24"/>
        </w:rPr>
        <w:t>室</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五、响应文件提交截止时间</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同磋商时间</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六、联系方式</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（一）项目单位：芜湖市文化和旅游局</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地址：芜湖市</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联系人：王工 </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电话：0553-3833639</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（二）采购代理机构： 安徽奇士建设工程咨询有限公司</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 xml:space="preserve">地址：安徽省无为市 </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联系人： 张工</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 xml:space="preserve">电话： </w:t>
      </w:r>
      <w:r>
        <w:rPr>
          <w:rFonts w:ascii="宋体" w:hAnsi="宋体" w:cs="宋体"/>
          <w:kern w:val="0"/>
          <w:sz w:val="24"/>
        </w:rPr>
        <w:t>13195535722</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七：其它事项说明：无</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八、磋商保证金缴纳账户</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1、所有磋商供应商均需提交足额磋商保证金。</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2、磋商保证金的到帐截止时间为开标日前1个工作日上午10时。</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3、磋商保证金必须从投标人基本帐户汇入到下述指定帐户，未到达指定账户的投标恕不接受。</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4、磋商保证金不得从其他账户汇出，否则拒绝其投标行为。</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本项目须缴纳金额：暂不收取。</w:t>
      </w:r>
    </w:p>
    <w:p>
      <w:pPr>
        <w:widowControl/>
        <w:snapToGrid w:val="0"/>
        <w:spacing w:before="100" w:after="100"/>
        <w:ind w:firstLine="480" w:firstLineChars="200"/>
        <w:rPr>
          <w:rFonts w:ascii="宋体" w:hAnsi="宋体" w:cs="宋体"/>
          <w:kern w:val="0"/>
          <w:sz w:val="24"/>
        </w:rPr>
      </w:pPr>
      <w:r>
        <w:rPr>
          <w:rFonts w:hint="eastAsia" w:ascii="宋体" w:hAnsi="宋体" w:cs="宋体"/>
          <w:kern w:val="0"/>
          <w:sz w:val="24"/>
        </w:rPr>
        <w:t>九、项目采购需求：详见磋商文件。</w:t>
      </w:r>
    </w:p>
    <w:p>
      <w:pPr>
        <w:widowControl/>
        <w:snapToGrid w:val="0"/>
        <w:spacing w:before="100" w:after="100"/>
        <w:ind w:firstLine="480" w:firstLineChars="200"/>
        <w:rPr>
          <w:rFonts w:ascii="宋体" w:hAnsi="宋体"/>
          <w:sz w:val="24"/>
        </w:rPr>
      </w:pPr>
    </w:p>
    <w:p>
      <w:pPr>
        <w:widowControl/>
        <w:snapToGrid w:val="0"/>
        <w:spacing w:before="100" w:after="100"/>
        <w:ind w:firstLine="480" w:firstLineChars="200"/>
        <w:jc w:val="right"/>
        <w:rPr>
          <w:rFonts w:hint="eastAsia" w:ascii="宋体" w:hAnsi="宋体" w:cs="宋体"/>
          <w:kern w:val="0"/>
          <w:sz w:val="24"/>
        </w:rPr>
      </w:pPr>
      <w:r>
        <w:rPr>
          <w:rFonts w:hint="eastAsia" w:ascii="宋体" w:hAnsi="宋体" w:cs="宋体"/>
          <w:kern w:val="0"/>
          <w:sz w:val="24"/>
        </w:rPr>
        <w:t>芜湖市文化和旅游局</w:t>
      </w:r>
    </w:p>
    <w:p>
      <w:pPr>
        <w:pStyle w:val="2"/>
        <w:jc w:val="right"/>
        <w:rPr>
          <w:rFonts w:hint="eastAsia" w:ascii="宋体" w:hAnsi="宋体" w:eastAsia="宋体" w:cs="宋体"/>
          <w:kern w:val="0"/>
          <w:sz w:val="24"/>
          <w:szCs w:val="24"/>
          <w:highlight w:val="yellow"/>
          <w:lang w:val="en-US" w:eastAsia="zh-CN" w:bidi="ar-SA"/>
        </w:rPr>
      </w:pPr>
      <w:r>
        <w:rPr>
          <w:rFonts w:hint="eastAsia" w:ascii="宋体" w:hAnsi="宋体" w:eastAsia="宋体" w:cs="宋体"/>
          <w:kern w:val="0"/>
          <w:sz w:val="24"/>
          <w:szCs w:val="24"/>
          <w:highlight w:val="none"/>
          <w:lang w:val="en-US" w:eastAsia="zh-CN" w:bidi="ar-SA"/>
        </w:rPr>
        <w:t>安徽奇士建设工程咨询有限公司</w:t>
      </w:r>
    </w:p>
    <w:p>
      <w:pPr>
        <w:widowControl/>
        <w:snapToGrid w:val="0"/>
        <w:spacing w:before="100" w:after="100"/>
        <w:ind w:firstLine="480" w:firstLineChars="200"/>
        <w:jc w:val="right"/>
        <w:rPr>
          <w:rFonts w:ascii="宋体" w:hAnsi="宋体" w:cs="宋体"/>
          <w:kern w:val="0"/>
          <w:sz w:val="24"/>
        </w:rPr>
      </w:pPr>
      <w:r>
        <w:rPr>
          <w:rFonts w:hint="eastAsia" w:ascii="宋体" w:hAnsi="宋体" w:cs="宋体"/>
          <w:kern w:val="0"/>
          <w:sz w:val="24"/>
        </w:rPr>
        <w:t xml:space="preserve">                       2020年</w:t>
      </w:r>
      <w:r>
        <w:rPr>
          <w:rFonts w:hint="eastAsia" w:ascii="宋体" w:hAnsi="宋体" w:cs="宋体"/>
          <w:kern w:val="0"/>
          <w:sz w:val="24"/>
          <w:lang w:val="en-US" w:eastAsia="zh-CN"/>
        </w:rPr>
        <w:t>05</w:t>
      </w:r>
      <w:r>
        <w:rPr>
          <w:rFonts w:hint="eastAsia" w:ascii="宋体" w:hAnsi="宋体" w:cs="宋体"/>
          <w:kern w:val="0"/>
          <w:sz w:val="24"/>
        </w:rPr>
        <w:t>月</w:t>
      </w:r>
      <w:r>
        <w:rPr>
          <w:rFonts w:hint="eastAsia" w:ascii="宋体" w:hAnsi="宋体" w:cs="宋体"/>
          <w:kern w:val="0"/>
          <w:sz w:val="24"/>
          <w:lang w:val="en-US" w:eastAsia="zh-CN"/>
        </w:rPr>
        <w:t>07</w:t>
      </w:r>
      <w:r>
        <w:rPr>
          <w:rFonts w:hint="eastAsia" w:ascii="宋体" w:hAnsi="宋体" w:cs="宋体"/>
          <w:kern w:val="0"/>
          <w:sz w:val="24"/>
        </w:rPr>
        <w:t>日</w:t>
      </w:r>
    </w:p>
    <w:p>
      <w:pPr>
        <w:widowControl/>
        <w:snapToGrid w:val="0"/>
        <w:spacing w:before="100" w:after="100" w:line="360" w:lineRule="atLeast"/>
        <w:ind w:firstLine="420"/>
        <w:jc w:val="right"/>
        <w:rPr>
          <w:rFonts w:ascii="宋体" w:hAnsi="宋体" w:cs="宋体"/>
          <w:kern w:val="0"/>
          <w:sz w:val="24"/>
        </w:rPr>
      </w:pPr>
    </w:p>
    <w:p>
      <w:pPr>
        <w:spacing w:line="300" w:lineRule="auto"/>
        <w:jc w:val="center"/>
        <w:rPr>
          <w:rFonts w:ascii="宋体" w:hAnsi="宋体"/>
          <w:b/>
          <w:sz w:val="32"/>
          <w:szCs w:val="32"/>
        </w:rPr>
      </w:pPr>
    </w:p>
    <w:p>
      <w:pPr>
        <w:spacing w:line="300" w:lineRule="auto"/>
        <w:jc w:val="center"/>
        <w:rPr>
          <w:rFonts w:ascii="宋体" w:hAnsi="宋体"/>
          <w:b/>
          <w:sz w:val="32"/>
          <w:szCs w:val="32"/>
        </w:rPr>
      </w:pPr>
    </w:p>
    <w:p>
      <w:pPr>
        <w:spacing w:line="300" w:lineRule="auto"/>
        <w:jc w:val="center"/>
        <w:rPr>
          <w:rFonts w:ascii="宋体" w:hAnsi="宋体"/>
          <w:b/>
          <w:sz w:val="32"/>
          <w:szCs w:val="32"/>
        </w:rPr>
      </w:pPr>
    </w:p>
    <w:p>
      <w:pPr>
        <w:spacing w:line="300" w:lineRule="auto"/>
        <w:jc w:val="center"/>
        <w:rPr>
          <w:rFonts w:ascii="宋体" w:hAnsi="宋体"/>
          <w:b/>
          <w:sz w:val="32"/>
          <w:szCs w:val="32"/>
        </w:rPr>
      </w:pPr>
    </w:p>
    <w:p>
      <w:pPr>
        <w:spacing w:line="300" w:lineRule="auto"/>
        <w:jc w:val="center"/>
        <w:rPr>
          <w:rFonts w:ascii="宋体" w:hAnsi="宋体"/>
          <w:b/>
          <w:sz w:val="32"/>
          <w:szCs w:val="32"/>
        </w:rPr>
      </w:pPr>
    </w:p>
    <w:p>
      <w:pPr>
        <w:spacing w:line="300" w:lineRule="auto"/>
        <w:jc w:val="center"/>
        <w:rPr>
          <w:rFonts w:ascii="宋体" w:hAnsi="宋体"/>
          <w:b/>
          <w:sz w:val="32"/>
          <w:szCs w:val="32"/>
        </w:rPr>
      </w:pPr>
    </w:p>
    <w:p>
      <w:pPr>
        <w:spacing w:line="300" w:lineRule="auto"/>
        <w:jc w:val="center"/>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spacing w:line="300" w:lineRule="auto"/>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spacing w:line="300" w:lineRule="auto"/>
        <w:jc w:val="center"/>
        <w:rPr>
          <w:rFonts w:ascii="宋体" w:hAnsi="宋体"/>
          <w:b/>
          <w:bCs/>
          <w:sz w:val="24"/>
        </w:rPr>
      </w:pPr>
      <w:r>
        <w:rPr>
          <w:rFonts w:hint="eastAsia" w:ascii="宋体" w:hAnsi="宋体"/>
          <w:b/>
          <w:sz w:val="32"/>
          <w:szCs w:val="32"/>
        </w:rPr>
        <w:t>第二章 竞争性磋商须知</w:t>
      </w:r>
    </w:p>
    <w:p>
      <w:pPr>
        <w:spacing w:line="300" w:lineRule="auto"/>
        <w:jc w:val="center"/>
        <w:rPr>
          <w:rFonts w:ascii="宋体" w:hAnsi="宋体"/>
          <w:b/>
          <w:bCs/>
          <w:sz w:val="32"/>
          <w:szCs w:val="32"/>
        </w:rPr>
      </w:pPr>
      <w:r>
        <w:rPr>
          <w:rFonts w:hint="eastAsia" w:ascii="宋体" w:hAnsi="宋体"/>
          <w:b/>
          <w:bCs/>
          <w:sz w:val="32"/>
          <w:szCs w:val="32"/>
        </w:rPr>
        <w:t>一、总则</w:t>
      </w:r>
    </w:p>
    <w:p>
      <w:pPr>
        <w:spacing w:line="400" w:lineRule="exact"/>
        <w:rPr>
          <w:rFonts w:ascii="宋体" w:hAnsi="宋体" w:cs="宋体"/>
          <w:b/>
          <w:sz w:val="24"/>
        </w:rPr>
      </w:pPr>
      <w:r>
        <w:rPr>
          <w:rFonts w:hint="eastAsia" w:ascii="宋体" w:hAnsi="宋体" w:cs="宋体"/>
          <w:b/>
          <w:sz w:val="24"/>
        </w:rPr>
        <w:t>1、适用范围</w:t>
      </w:r>
    </w:p>
    <w:p>
      <w:pPr>
        <w:spacing w:line="400" w:lineRule="exact"/>
        <w:ind w:firstLine="480" w:firstLineChars="200"/>
        <w:rPr>
          <w:rFonts w:ascii="宋体" w:hAnsi="宋体" w:cs="宋体"/>
          <w:sz w:val="24"/>
        </w:rPr>
      </w:pPr>
      <w:r>
        <w:rPr>
          <w:rFonts w:hint="eastAsia" w:ascii="宋体" w:hAnsi="宋体" w:cs="宋体"/>
          <w:sz w:val="24"/>
        </w:rPr>
        <w:t>1.1本竞争性磋商文件仅适用于磋商文件中所述项目的采购。</w:t>
      </w:r>
    </w:p>
    <w:p>
      <w:pPr>
        <w:spacing w:line="400" w:lineRule="exact"/>
        <w:rPr>
          <w:rFonts w:ascii="宋体" w:hAnsi="宋体" w:cs="宋体"/>
          <w:b/>
          <w:sz w:val="24"/>
        </w:rPr>
      </w:pPr>
      <w:r>
        <w:rPr>
          <w:rFonts w:hint="eastAsia" w:ascii="宋体" w:hAnsi="宋体" w:cs="宋体"/>
          <w:b/>
          <w:sz w:val="24"/>
        </w:rPr>
        <w:t>2、定义</w:t>
      </w:r>
    </w:p>
    <w:p>
      <w:pPr>
        <w:spacing w:line="400" w:lineRule="exact"/>
        <w:ind w:firstLine="480" w:firstLineChars="200"/>
        <w:rPr>
          <w:rFonts w:ascii="宋体" w:hAnsi="宋体" w:cs="宋体"/>
          <w:sz w:val="24"/>
        </w:rPr>
      </w:pPr>
      <w:r>
        <w:rPr>
          <w:rFonts w:hint="eastAsia" w:ascii="宋体" w:hAnsi="宋体" w:cs="宋体"/>
          <w:sz w:val="24"/>
        </w:rPr>
        <w:t>2.1“采购人”系指本次磋商活动的采购单位，“采购代理机构”系指受采购人委托、组织本次采购工作的代理机构。</w:t>
      </w:r>
    </w:p>
    <w:p>
      <w:pPr>
        <w:spacing w:line="400" w:lineRule="exact"/>
        <w:ind w:firstLine="480" w:firstLineChars="200"/>
        <w:rPr>
          <w:rFonts w:ascii="宋体" w:hAnsi="宋体" w:cs="宋体"/>
          <w:sz w:val="24"/>
        </w:rPr>
      </w:pPr>
      <w:r>
        <w:rPr>
          <w:rFonts w:hint="eastAsia" w:ascii="宋体" w:hAnsi="宋体" w:cs="宋体"/>
          <w:sz w:val="24"/>
        </w:rPr>
        <w:t>2.2“磋商供应商”系指通过报名并提交响应文件的供应商。</w:t>
      </w:r>
    </w:p>
    <w:p>
      <w:pPr>
        <w:spacing w:line="400" w:lineRule="exact"/>
        <w:ind w:firstLine="480" w:firstLineChars="200"/>
        <w:rPr>
          <w:rFonts w:ascii="宋体" w:hAnsi="宋体" w:cs="宋体"/>
          <w:sz w:val="24"/>
        </w:rPr>
      </w:pPr>
      <w:r>
        <w:rPr>
          <w:rFonts w:hint="eastAsia" w:ascii="宋体" w:hAnsi="宋体" w:cs="宋体"/>
          <w:sz w:val="24"/>
        </w:rPr>
        <w:t>2.3“竞争性磋商文件”系指采购人向供应商发出的采购文件。</w:t>
      </w:r>
    </w:p>
    <w:p>
      <w:pPr>
        <w:spacing w:line="400" w:lineRule="exact"/>
        <w:ind w:firstLine="480" w:firstLineChars="200"/>
        <w:rPr>
          <w:rFonts w:ascii="宋体" w:hAnsi="宋体" w:cs="宋体"/>
          <w:sz w:val="24"/>
        </w:rPr>
      </w:pPr>
      <w:r>
        <w:rPr>
          <w:rFonts w:hint="eastAsia" w:ascii="宋体" w:hAnsi="宋体" w:cs="宋体"/>
          <w:sz w:val="24"/>
        </w:rPr>
        <w:t>2.4“响应文件”系指磋商供应商向采购人提交的响应文件。</w:t>
      </w:r>
    </w:p>
    <w:p>
      <w:pPr>
        <w:spacing w:line="400" w:lineRule="exact"/>
        <w:rPr>
          <w:rFonts w:ascii="宋体" w:hAnsi="宋体" w:cs="宋体"/>
          <w:b/>
          <w:sz w:val="24"/>
        </w:rPr>
      </w:pPr>
      <w:r>
        <w:rPr>
          <w:rFonts w:hint="eastAsia" w:ascii="宋体" w:hAnsi="宋体" w:cs="宋体"/>
          <w:b/>
          <w:sz w:val="24"/>
        </w:rPr>
        <w:t>3、合格的磋商供应商</w:t>
      </w:r>
    </w:p>
    <w:p>
      <w:pPr>
        <w:spacing w:line="400" w:lineRule="exact"/>
        <w:ind w:firstLine="480" w:firstLineChars="200"/>
        <w:rPr>
          <w:rFonts w:ascii="宋体" w:hAnsi="宋体" w:cs="宋体"/>
          <w:sz w:val="24"/>
        </w:rPr>
      </w:pPr>
      <w:r>
        <w:rPr>
          <w:rFonts w:hint="eastAsia" w:ascii="宋体" w:hAnsi="宋体" w:cs="宋体"/>
          <w:bCs/>
          <w:sz w:val="24"/>
        </w:rPr>
        <w:t>3.1</w:t>
      </w:r>
      <w:r>
        <w:rPr>
          <w:rFonts w:hint="eastAsia" w:ascii="宋体" w:hAnsi="宋体" w:cs="宋体"/>
          <w:sz w:val="24"/>
        </w:rPr>
        <w:t>符合《中华人民共和国政府采购法》第二十二条供应商参加政府采购活动应当具备的条件及其他有关法律、法规关于供应商的有关规定，有能力提供磋商采购项目的供应商。</w:t>
      </w:r>
    </w:p>
    <w:p>
      <w:pPr>
        <w:spacing w:line="400" w:lineRule="exact"/>
        <w:ind w:firstLine="480" w:firstLineChars="200"/>
        <w:rPr>
          <w:rFonts w:ascii="宋体" w:hAnsi="宋体" w:cs="宋体"/>
          <w:sz w:val="24"/>
        </w:rPr>
      </w:pPr>
      <w:r>
        <w:rPr>
          <w:rFonts w:hint="eastAsia" w:ascii="宋体" w:hAnsi="宋体" w:cs="宋体"/>
          <w:sz w:val="24"/>
        </w:rPr>
        <w:t>3.2符合竞争性磋商文件第一章关于磋商供应商资格要求的规定。</w:t>
      </w:r>
    </w:p>
    <w:p>
      <w:pPr>
        <w:spacing w:line="400" w:lineRule="exact"/>
        <w:ind w:firstLine="480" w:firstLineChars="200"/>
        <w:rPr>
          <w:rFonts w:ascii="宋体" w:hAnsi="宋体" w:cs="宋体"/>
          <w:sz w:val="24"/>
        </w:rPr>
      </w:pPr>
      <w:r>
        <w:rPr>
          <w:rFonts w:hint="eastAsia" w:ascii="宋体" w:hAnsi="宋体" w:cs="宋体"/>
          <w:sz w:val="24"/>
        </w:rPr>
        <w:t>3.3磋商供应商应遵守《政府采购法》、《合同法》和《反不正当竞争法》等有关法律、法规。如有违反，将视为不合格磋商供应商，其响应文件无效。</w:t>
      </w:r>
    </w:p>
    <w:p>
      <w:pPr>
        <w:spacing w:line="400" w:lineRule="exact"/>
        <w:rPr>
          <w:rFonts w:ascii="宋体" w:hAnsi="宋体" w:cs="宋体"/>
          <w:b/>
          <w:sz w:val="24"/>
        </w:rPr>
      </w:pPr>
      <w:r>
        <w:rPr>
          <w:rFonts w:hint="eastAsia" w:ascii="宋体" w:hAnsi="宋体" w:cs="宋体"/>
          <w:b/>
          <w:sz w:val="24"/>
        </w:rPr>
        <w:t>4</w:t>
      </w:r>
      <w:r>
        <w:rPr>
          <w:rFonts w:hint="eastAsia" w:ascii="宋体" w:hAnsi="宋体" w:cs="宋体"/>
          <w:b/>
          <w:bCs/>
          <w:sz w:val="24"/>
        </w:rPr>
        <w:t>、竞争性磋商费用</w:t>
      </w:r>
    </w:p>
    <w:p>
      <w:pPr>
        <w:pStyle w:val="13"/>
        <w:spacing w:line="400" w:lineRule="exact"/>
        <w:ind w:firstLine="480" w:firstLineChars="200"/>
        <w:rPr>
          <w:rFonts w:hAnsi="宋体" w:cs="宋体"/>
          <w:sz w:val="24"/>
          <w:szCs w:val="24"/>
        </w:rPr>
      </w:pPr>
      <w:r>
        <w:rPr>
          <w:rFonts w:hint="eastAsia" w:hAnsi="宋体" w:cs="宋体"/>
          <w:sz w:val="24"/>
          <w:szCs w:val="24"/>
        </w:rPr>
        <w:t>无论磋商过程中的做法和结果如何，磋商供应商自行承担所有与参加竞争性磋商有关的一切费用，采购人及采购代理机构均对上述费用不负任何责任。</w:t>
      </w:r>
    </w:p>
    <w:p>
      <w:pPr>
        <w:pStyle w:val="13"/>
        <w:spacing w:line="400" w:lineRule="exact"/>
        <w:rPr>
          <w:rFonts w:hAnsi="宋体" w:cs="宋体"/>
          <w:b/>
          <w:sz w:val="24"/>
          <w:szCs w:val="24"/>
        </w:rPr>
      </w:pPr>
      <w:r>
        <w:rPr>
          <w:rFonts w:hint="eastAsia" w:hAnsi="宋体" w:cs="宋体"/>
          <w:b/>
          <w:sz w:val="24"/>
          <w:szCs w:val="24"/>
        </w:rPr>
        <w:t>5、法律适用</w:t>
      </w:r>
    </w:p>
    <w:p>
      <w:pPr>
        <w:pStyle w:val="13"/>
        <w:spacing w:line="400" w:lineRule="exact"/>
        <w:ind w:firstLine="480" w:firstLineChars="200"/>
        <w:rPr>
          <w:rFonts w:hAnsi="宋体" w:cs="宋体"/>
          <w:sz w:val="24"/>
          <w:szCs w:val="24"/>
        </w:rPr>
      </w:pPr>
      <w:r>
        <w:rPr>
          <w:rFonts w:hint="eastAsia" w:hAnsi="宋体" w:cs="宋体"/>
          <w:sz w:val="24"/>
          <w:szCs w:val="24"/>
        </w:rPr>
        <w:t>本次竞争性磋商活动及由本次竞争性磋商产生的合同受中华人民共和国的法律制约和保护。</w:t>
      </w:r>
    </w:p>
    <w:p>
      <w:pPr>
        <w:pStyle w:val="13"/>
        <w:spacing w:line="400" w:lineRule="exact"/>
        <w:rPr>
          <w:rFonts w:hAnsi="宋体" w:cs="宋体"/>
          <w:b/>
          <w:sz w:val="24"/>
          <w:szCs w:val="24"/>
        </w:rPr>
      </w:pPr>
      <w:r>
        <w:rPr>
          <w:rFonts w:hint="eastAsia" w:hAnsi="宋体" w:cs="宋体"/>
          <w:b/>
          <w:sz w:val="24"/>
          <w:szCs w:val="24"/>
        </w:rPr>
        <w:t>6、磋商文件的约束力</w:t>
      </w:r>
    </w:p>
    <w:p>
      <w:pPr>
        <w:pStyle w:val="13"/>
        <w:spacing w:line="400" w:lineRule="exact"/>
        <w:ind w:firstLine="480" w:firstLineChars="200"/>
        <w:rPr>
          <w:rFonts w:hAnsi="宋体" w:cs="宋体"/>
          <w:sz w:val="24"/>
          <w:szCs w:val="24"/>
        </w:rPr>
      </w:pPr>
      <w:r>
        <w:rPr>
          <w:rFonts w:hint="eastAsia" w:hAnsi="宋体" w:cs="宋体"/>
          <w:sz w:val="24"/>
          <w:szCs w:val="24"/>
        </w:rPr>
        <w:t>6.1磋商供应商一旦向采购代理机构提交了其响应文件，即被认为接受了本磋商文件中的所有条款和规定，且对本磋商文件内容无异议。</w:t>
      </w:r>
    </w:p>
    <w:p>
      <w:pPr>
        <w:pStyle w:val="13"/>
        <w:spacing w:line="400" w:lineRule="exact"/>
        <w:ind w:firstLine="480" w:firstLineChars="200"/>
        <w:rPr>
          <w:rFonts w:hAnsi="宋体" w:cs="宋体"/>
          <w:sz w:val="24"/>
          <w:szCs w:val="24"/>
        </w:rPr>
      </w:pPr>
      <w:r>
        <w:rPr>
          <w:rFonts w:hint="eastAsia" w:hAnsi="宋体" w:cs="宋体"/>
          <w:sz w:val="24"/>
          <w:szCs w:val="24"/>
        </w:rPr>
        <w:t>6.2磋商文件的最终解释权归采购人，当对一个问题有多种解释时，以采购人解释为准。</w:t>
      </w:r>
    </w:p>
    <w:p>
      <w:pPr>
        <w:pStyle w:val="13"/>
        <w:spacing w:line="400" w:lineRule="exact"/>
        <w:ind w:firstLine="480" w:firstLineChars="200"/>
        <w:rPr>
          <w:rFonts w:hAnsi="宋体" w:cs="宋体"/>
          <w:sz w:val="24"/>
          <w:szCs w:val="24"/>
        </w:rPr>
      </w:pPr>
      <w:r>
        <w:rPr>
          <w:rFonts w:hint="eastAsia" w:hAnsi="宋体" w:cs="宋体"/>
          <w:sz w:val="24"/>
          <w:szCs w:val="24"/>
        </w:rPr>
        <w:t>6.3本文件未作须知明示而又有相关法律、法规规定的，采购人将依据有关法律、法规的规定对此解释。</w:t>
      </w:r>
    </w:p>
    <w:p>
      <w:pPr>
        <w:pStyle w:val="13"/>
        <w:spacing w:line="400" w:lineRule="exact"/>
        <w:ind w:firstLine="482" w:firstLineChars="200"/>
        <w:rPr>
          <w:rFonts w:hAnsi="宋体" w:cs="宋体"/>
          <w:b/>
          <w:sz w:val="24"/>
          <w:szCs w:val="24"/>
        </w:rPr>
      </w:pPr>
      <w:r>
        <w:rPr>
          <w:rFonts w:hint="eastAsia" w:hAnsi="宋体" w:cs="宋体"/>
          <w:b/>
          <w:sz w:val="24"/>
          <w:szCs w:val="24"/>
        </w:rPr>
        <w:t>二、磋商文件</w:t>
      </w:r>
    </w:p>
    <w:p>
      <w:pPr>
        <w:spacing w:line="400" w:lineRule="exact"/>
        <w:rPr>
          <w:rFonts w:ascii="宋体" w:hAnsi="宋体" w:cs="宋体"/>
          <w:b/>
          <w:sz w:val="24"/>
        </w:rPr>
      </w:pPr>
      <w:r>
        <w:rPr>
          <w:rFonts w:hint="eastAsia" w:ascii="宋体" w:hAnsi="宋体" w:cs="宋体"/>
          <w:b/>
          <w:sz w:val="24"/>
          <w:highlight w:val="white"/>
        </w:rPr>
        <w:t>7、竞争性磋商文件用以阐明所需货物或服务、</w:t>
      </w:r>
      <w:r>
        <w:rPr>
          <w:rFonts w:hint="eastAsia" w:ascii="宋体" w:hAnsi="宋体" w:cs="宋体"/>
          <w:b/>
          <w:sz w:val="24"/>
        </w:rPr>
        <w:t>竞争性磋商程序和合同条款等。</w:t>
      </w:r>
    </w:p>
    <w:p>
      <w:pPr>
        <w:pStyle w:val="13"/>
        <w:spacing w:line="400" w:lineRule="exact"/>
        <w:ind w:firstLine="480" w:firstLineChars="200"/>
        <w:rPr>
          <w:rFonts w:hAnsi="宋体" w:cs="宋体"/>
          <w:sz w:val="24"/>
          <w:szCs w:val="24"/>
        </w:rPr>
      </w:pPr>
      <w:r>
        <w:rPr>
          <w:rFonts w:hint="eastAsia" w:hAnsi="宋体" w:cs="宋体"/>
          <w:sz w:val="24"/>
          <w:szCs w:val="24"/>
        </w:rPr>
        <w:t>7.1 磋商文件组成包括：</w:t>
      </w:r>
    </w:p>
    <w:p>
      <w:pPr>
        <w:pStyle w:val="13"/>
        <w:spacing w:line="400" w:lineRule="exact"/>
        <w:ind w:firstLine="480" w:firstLineChars="200"/>
        <w:rPr>
          <w:rFonts w:hAnsi="宋体" w:cs="宋体"/>
          <w:sz w:val="24"/>
          <w:szCs w:val="24"/>
        </w:rPr>
      </w:pPr>
      <w:r>
        <w:rPr>
          <w:rFonts w:hint="eastAsia" w:hAnsi="宋体" w:cs="宋体"/>
          <w:sz w:val="24"/>
          <w:szCs w:val="24"/>
        </w:rPr>
        <w:t>第一章   竞争性磋商邀请书</w:t>
      </w:r>
    </w:p>
    <w:p>
      <w:pPr>
        <w:pStyle w:val="13"/>
        <w:spacing w:line="400" w:lineRule="exact"/>
        <w:ind w:firstLine="480" w:firstLineChars="200"/>
        <w:rPr>
          <w:rFonts w:hAnsi="宋体" w:cs="宋体"/>
          <w:sz w:val="24"/>
          <w:szCs w:val="24"/>
        </w:rPr>
      </w:pPr>
      <w:r>
        <w:rPr>
          <w:rFonts w:hint="eastAsia" w:hAnsi="宋体" w:cs="宋体"/>
          <w:sz w:val="24"/>
          <w:szCs w:val="24"/>
        </w:rPr>
        <w:t>第二章   竞争性磋商须知</w:t>
      </w:r>
    </w:p>
    <w:p>
      <w:pPr>
        <w:pStyle w:val="13"/>
        <w:spacing w:line="400" w:lineRule="exact"/>
        <w:ind w:firstLine="480" w:firstLineChars="200"/>
        <w:rPr>
          <w:rFonts w:hAnsi="宋体" w:cs="宋体"/>
          <w:sz w:val="24"/>
          <w:szCs w:val="24"/>
        </w:rPr>
      </w:pPr>
      <w:r>
        <w:rPr>
          <w:rFonts w:hint="eastAsia" w:hAnsi="宋体" w:cs="宋体"/>
          <w:sz w:val="24"/>
          <w:szCs w:val="24"/>
        </w:rPr>
        <w:t>第三章   政府采购合同</w:t>
      </w:r>
    </w:p>
    <w:p>
      <w:pPr>
        <w:pStyle w:val="13"/>
        <w:spacing w:line="400" w:lineRule="exact"/>
        <w:ind w:firstLine="480" w:firstLineChars="200"/>
        <w:rPr>
          <w:rFonts w:hAnsi="宋体" w:cs="宋体"/>
          <w:sz w:val="24"/>
          <w:szCs w:val="24"/>
        </w:rPr>
      </w:pPr>
      <w:r>
        <w:rPr>
          <w:rFonts w:hint="eastAsia" w:hAnsi="宋体" w:cs="宋体"/>
          <w:sz w:val="24"/>
          <w:szCs w:val="24"/>
        </w:rPr>
        <w:t>第四章   采购项目需求及具体要求</w:t>
      </w:r>
    </w:p>
    <w:p>
      <w:pPr>
        <w:pStyle w:val="13"/>
        <w:spacing w:line="400" w:lineRule="exact"/>
        <w:ind w:firstLine="480" w:firstLineChars="200"/>
        <w:rPr>
          <w:rFonts w:hAnsi="宋体" w:cs="宋体"/>
          <w:sz w:val="24"/>
          <w:szCs w:val="24"/>
        </w:rPr>
      </w:pPr>
      <w:r>
        <w:rPr>
          <w:rFonts w:hint="eastAsia" w:hAnsi="宋体" w:cs="宋体"/>
          <w:sz w:val="24"/>
          <w:szCs w:val="24"/>
        </w:rPr>
        <w:t>第五章   评审程序、方法及标准</w:t>
      </w:r>
    </w:p>
    <w:p>
      <w:pPr>
        <w:pStyle w:val="13"/>
        <w:spacing w:line="400" w:lineRule="exact"/>
        <w:ind w:firstLine="480" w:firstLineChars="200"/>
        <w:rPr>
          <w:rFonts w:hAnsi="宋体" w:cs="宋体"/>
          <w:sz w:val="24"/>
          <w:szCs w:val="24"/>
        </w:rPr>
      </w:pPr>
      <w:r>
        <w:rPr>
          <w:rFonts w:hint="eastAsia" w:hAnsi="宋体" w:cs="宋体"/>
          <w:sz w:val="24"/>
          <w:szCs w:val="24"/>
        </w:rPr>
        <w:t>第六章   响应文件格式</w:t>
      </w:r>
    </w:p>
    <w:p>
      <w:pPr>
        <w:pStyle w:val="13"/>
        <w:spacing w:line="400" w:lineRule="exact"/>
        <w:ind w:firstLine="480" w:firstLineChars="200"/>
        <w:rPr>
          <w:rFonts w:hAnsi="宋体" w:cs="宋体"/>
          <w:sz w:val="24"/>
          <w:szCs w:val="24"/>
        </w:rPr>
      </w:pPr>
      <w:r>
        <w:rPr>
          <w:rFonts w:hint="eastAsia" w:hAnsi="宋体" w:cs="宋体"/>
          <w:sz w:val="24"/>
          <w:szCs w:val="24"/>
        </w:rPr>
        <w:t>7.2磋商供应商被视为（或有义务）充分熟悉本竞争性磋商项目所在地的与履行合同有关的各种情况，包括自然环境、气候条件、劳动力及公用设施等，本磋商文件不再对上述情况进行描述。</w:t>
      </w:r>
    </w:p>
    <w:p>
      <w:pPr>
        <w:pStyle w:val="13"/>
        <w:spacing w:line="400" w:lineRule="exact"/>
        <w:ind w:firstLine="480" w:firstLineChars="200"/>
        <w:rPr>
          <w:rFonts w:hAnsi="宋体" w:cs="宋体"/>
          <w:sz w:val="24"/>
          <w:szCs w:val="24"/>
        </w:rPr>
      </w:pPr>
      <w:r>
        <w:rPr>
          <w:rFonts w:hint="eastAsia" w:hAnsi="宋体" w:cs="宋体"/>
          <w:sz w:val="24"/>
          <w:szCs w:val="24"/>
        </w:rPr>
        <w:t>7.3磋商供应商必须详细阅读本磋商文件的所有条款、规定及表格格式。磋商供应商若未按磋商文件的要求和规范编制和提交响应文件，将有可能导致响应文件被拒绝接受。</w:t>
      </w:r>
    </w:p>
    <w:p>
      <w:pPr>
        <w:pStyle w:val="13"/>
        <w:rPr>
          <w:rFonts w:hAnsi="宋体" w:cs="宋体"/>
          <w:b/>
          <w:bCs/>
          <w:sz w:val="24"/>
          <w:szCs w:val="24"/>
        </w:rPr>
      </w:pPr>
      <w:r>
        <w:rPr>
          <w:rFonts w:hint="eastAsia" w:hAnsi="宋体" w:cs="宋体"/>
          <w:b/>
          <w:bCs/>
          <w:sz w:val="24"/>
          <w:szCs w:val="24"/>
        </w:rPr>
        <w:t>8、磋商文件的澄清或修改</w:t>
      </w:r>
    </w:p>
    <w:p>
      <w:pPr>
        <w:widowControl/>
        <w:spacing w:line="400" w:lineRule="exact"/>
        <w:ind w:firstLine="480" w:firstLineChars="200"/>
        <w:rPr>
          <w:rFonts w:ascii="宋体" w:hAnsi="宋体" w:cs="宋体"/>
          <w:sz w:val="24"/>
        </w:rPr>
      </w:pPr>
      <w:r>
        <w:rPr>
          <w:rFonts w:hint="eastAsia" w:ascii="宋体" w:hAnsi="宋体" w:cs="宋体"/>
          <w:sz w:val="24"/>
        </w:rPr>
        <w:t>8.1若磋商供应商对磋商文件有疑点或异议，应以书面形式（包括传真）递交，质疑截止时间自磋商文件发出之日起7个工作日内通知采购代理机构，采购代理机构将于质疑书递交后3个工作日内以书面形式予以澄清或答复。</w:t>
      </w:r>
    </w:p>
    <w:p>
      <w:pPr>
        <w:widowControl/>
        <w:spacing w:line="400" w:lineRule="exact"/>
        <w:ind w:firstLine="480" w:firstLineChars="200"/>
        <w:rPr>
          <w:rFonts w:ascii="宋体" w:hAnsi="宋体" w:cs="宋体"/>
          <w:sz w:val="24"/>
        </w:rPr>
      </w:pPr>
      <w:r>
        <w:rPr>
          <w:rFonts w:hint="eastAsia" w:ascii="宋体" w:hAnsi="宋体" w:cs="宋体"/>
          <w:sz w:val="24"/>
        </w:rPr>
        <w:t>8.2在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5日前，以公告的形式发布更正或补充文件；不足5日的，采购人将顺延提交首次响应文件截止时间。</w:t>
      </w:r>
    </w:p>
    <w:p>
      <w:pPr>
        <w:widowControl/>
        <w:spacing w:line="400" w:lineRule="exact"/>
        <w:ind w:firstLine="482" w:firstLineChars="200"/>
        <w:rPr>
          <w:rFonts w:ascii="宋体" w:hAnsi="宋体" w:cs="宋体"/>
          <w:b/>
          <w:bCs/>
          <w:sz w:val="24"/>
        </w:rPr>
      </w:pPr>
      <w:r>
        <w:rPr>
          <w:rFonts w:hint="eastAsia" w:ascii="宋体" w:hAnsi="宋体" w:cs="宋体"/>
          <w:b/>
          <w:bCs/>
          <w:sz w:val="24"/>
        </w:rPr>
        <w:t>三、响应文件的编制</w:t>
      </w:r>
    </w:p>
    <w:p>
      <w:pPr>
        <w:widowControl/>
        <w:spacing w:line="400" w:lineRule="exact"/>
        <w:rPr>
          <w:rFonts w:ascii="宋体" w:hAnsi="宋体" w:cs="宋体"/>
          <w:b/>
          <w:bCs/>
          <w:sz w:val="24"/>
        </w:rPr>
      </w:pPr>
      <w:r>
        <w:rPr>
          <w:rFonts w:hint="eastAsia" w:ascii="宋体" w:hAnsi="宋体" w:cs="宋体"/>
          <w:b/>
          <w:bCs/>
          <w:sz w:val="24"/>
        </w:rPr>
        <w:t>9、供应商应仔细阅读竞争性磋商文件的所有内容，按竞争性磋商文件的要求编制和提交响应文件，并保证所提供的全部资料的真实性，以使其对竞争性磋商文件作出实质性响应。否则，响应文件可能被拒绝。</w:t>
      </w:r>
    </w:p>
    <w:p>
      <w:pPr>
        <w:widowControl/>
        <w:spacing w:line="400" w:lineRule="exact"/>
        <w:rPr>
          <w:rFonts w:ascii="宋体" w:hAnsi="宋体" w:cs="宋体"/>
          <w:b/>
          <w:bCs/>
          <w:sz w:val="24"/>
        </w:rPr>
      </w:pPr>
      <w:r>
        <w:rPr>
          <w:rFonts w:hint="eastAsia" w:ascii="宋体" w:hAnsi="宋体" w:cs="宋体"/>
          <w:b/>
          <w:bCs/>
          <w:sz w:val="24"/>
        </w:rPr>
        <w:t>10、响应文件的语言及度量衡</w:t>
      </w:r>
    </w:p>
    <w:p>
      <w:pPr>
        <w:widowControl/>
        <w:spacing w:line="400" w:lineRule="exact"/>
        <w:ind w:firstLine="480" w:firstLineChars="200"/>
        <w:rPr>
          <w:rFonts w:ascii="宋体" w:hAnsi="宋体" w:cs="宋体"/>
          <w:bCs/>
          <w:sz w:val="24"/>
        </w:rPr>
      </w:pPr>
      <w:r>
        <w:rPr>
          <w:rFonts w:hint="eastAsia" w:ascii="宋体" w:hAnsi="宋体" w:cs="宋体"/>
          <w:bCs/>
          <w:sz w:val="24"/>
        </w:rPr>
        <w:t>10.1响应文件以简体中文编制。如有外文资料，应附中文译文,并以所附的中文译文为准。</w:t>
      </w:r>
    </w:p>
    <w:p>
      <w:pPr>
        <w:widowControl/>
        <w:spacing w:line="400" w:lineRule="exact"/>
        <w:ind w:firstLine="480" w:firstLineChars="200"/>
        <w:rPr>
          <w:rFonts w:ascii="宋体" w:hAnsi="宋体" w:cs="宋体"/>
          <w:bCs/>
          <w:sz w:val="24"/>
        </w:rPr>
      </w:pPr>
      <w:r>
        <w:rPr>
          <w:rFonts w:hint="eastAsia" w:ascii="宋体" w:hAnsi="宋体" w:cs="宋体"/>
          <w:bCs/>
          <w:sz w:val="24"/>
        </w:rPr>
        <w:t>10.2除磋商文件另有规定外，度量衡统一使用国际标准单位。</w:t>
      </w:r>
    </w:p>
    <w:p>
      <w:pPr>
        <w:widowControl/>
        <w:spacing w:line="400" w:lineRule="exact"/>
        <w:ind w:firstLine="480" w:firstLineChars="200"/>
        <w:rPr>
          <w:rFonts w:ascii="宋体" w:hAnsi="宋体" w:cs="宋体"/>
          <w:bCs/>
          <w:sz w:val="24"/>
        </w:rPr>
      </w:pPr>
      <w:r>
        <w:rPr>
          <w:rFonts w:hint="eastAsia" w:ascii="宋体" w:hAnsi="宋体" w:cs="宋体"/>
          <w:bCs/>
          <w:sz w:val="24"/>
        </w:rPr>
        <w:t>10.3本磋商文件表述的时间均为北京时间。</w:t>
      </w:r>
    </w:p>
    <w:p>
      <w:pPr>
        <w:widowControl/>
        <w:spacing w:line="400" w:lineRule="exact"/>
        <w:rPr>
          <w:rFonts w:ascii="宋体" w:hAnsi="宋体" w:cs="宋体"/>
          <w:bCs/>
          <w:sz w:val="24"/>
        </w:rPr>
      </w:pPr>
      <w:r>
        <w:rPr>
          <w:rFonts w:hint="eastAsia" w:ascii="宋体" w:hAnsi="宋体" w:cs="宋体"/>
          <w:b/>
          <w:sz w:val="24"/>
        </w:rPr>
        <w:t>11、</w:t>
      </w:r>
      <w:r>
        <w:rPr>
          <w:rFonts w:hint="eastAsia" w:ascii="宋体" w:hAnsi="宋体" w:cs="宋体"/>
          <w:b/>
          <w:bCs/>
          <w:sz w:val="24"/>
        </w:rPr>
        <w:t>响应文件的组成</w:t>
      </w:r>
    </w:p>
    <w:p>
      <w:pPr>
        <w:pStyle w:val="13"/>
        <w:adjustRightInd w:val="0"/>
        <w:snapToGrid w:val="0"/>
        <w:spacing w:line="400" w:lineRule="exact"/>
        <w:ind w:firstLine="480" w:firstLineChars="200"/>
        <w:rPr>
          <w:rFonts w:hAnsi="宋体" w:cs="宋体"/>
          <w:sz w:val="24"/>
          <w:szCs w:val="24"/>
        </w:rPr>
      </w:pPr>
      <w:r>
        <w:rPr>
          <w:rFonts w:hint="eastAsia" w:hAnsi="宋体" w:cs="宋体"/>
          <w:sz w:val="24"/>
          <w:szCs w:val="24"/>
        </w:rPr>
        <w:t>11.1响应文件包括资质部分、商务部分、技术部分、第一次报价等内容（凡有具体格式要求详见竞争性磋商文件第六章“响应文件格式”）。</w:t>
      </w:r>
    </w:p>
    <w:p>
      <w:pPr>
        <w:spacing w:line="400" w:lineRule="exact"/>
        <w:ind w:firstLine="480" w:firstLineChars="200"/>
        <w:rPr>
          <w:rFonts w:ascii="宋体" w:hAnsi="宋体" w:cs="宋体"/>
          <w:sz w:val="24"/>
        </w:rPr>
      </w:pPr>
      <w:r>
        <w:rPr>
          <w:rFonts w:hint="eastAsia" w:ascii="宋体" w:hAnsi="宋体" w:cs="宋体"/>
          <w:sz w:val="24"/>
        </w:rPr>
        <w:t>11.2若磋商供应商未按磋商文件的要求提供资料，或未对磋商文件作出实质性响应，将视为无效投标。</w:t>
      </w:r>
    </w:p>
    <w:p>
      <w:pPr>
        <w:spacing w:line="400" w:lineRule="exact"/>
        <w:rPr>
          <w:rFonts w:ascii="宋体" w:hAnsi="宋体" w:cs="宋体"/>
          <w:b/>
          <w:sz w:val="24"/>
        </w:rPr>
      </w:pPr>
      <w:r>
        <w:rPr>
          <w:rFonts w:hint="eastAsia" w:ascii="宋体" w:hAnsi="宋体" w:cs="宋体"/>
          <w:b/>
          <w:sz w:val="24"/>
        </w:rPr>
        <w:t>12、磋商报价</w:t>
      </w:r>
    </w:p>
    <w:p>
      <w:pPr>
        <w:spacing w:line="400" w:lineRule="exact"/>
        <w:ind w:firstLine="480"/>
        <w:rPr>
          <w:rFonts w:ascii="宋体" w:hAnsi="宋体" w:cs="宋体"/>
          <w:sz w:val="24"/>
        </w:rPr>
      </w:pPr>
      <w:r>
        <w:rPr>
          <w:rFonts w:hint="eastAsia" w:ascii="宋体" w:hAnsi="宋体" w:cs="宋体"/>
          <w:sz w:val="24"/>
        </w:rPr>
        <w:t>12.1供应商的报价应包括本竞争性磋商文件第四章“采购项目需求及具体要求”中所列全部服务内容的价格及有关税费，包括采购项目未考虑但是项目实施过程中必要的费用，及采购项目履行过程中所需的而磋商文件中未列出的所有费用。</w:t>
      </w:r>
    </w:p>
    <w:p>
      <w:pPr>
        <w:spacing w:line="400" w:lineRule="exact"/>
        <w:ind w:firstLine="480"/>
        <w:rPr>
          <w:rFonts w:ascii="宋体" w:hAnsi="宋体" w:cs="宋体"/>
          <w:sz w:val="24"/>
        </w:rPr>
      </w:pPr>
      <w:r>
        <w:rPr>
          <w:rFonts w:hint="eastAsia" w:ascii="宋体" w:hAnsi="宋体" w:cs="宋体"/>
          <w:sz w:val="24"/>
        </w:rPr>
        <w:t>12.2供应商对本项目所提供的服务采取总价报价。</w:t>
      </w:r>
    </w:p>
    <w:p>
      <w:pPr>
        <w:spacing w:line="400" w:lineRule="exact"/>
        <w:ind w:firstLine="480"/>
        <w:rPr>
          <w:rFonts w:ascii="宋体" w:hAnsi="宋体" w:cs="宋体"/>
          <w:sz w:val="24"/>
        </w:rPr>
      </w:pPr>
      <w:r>
        <w:rPr>
          <w:rFonts w:hint="eastAsia" w:ascii="宋体" w:hAnsi="宋体" w:cs="宋体"/>
          <w:sz w:val="24"/>
        </w:rPr>
        <w:t>12.3供应商在磋商过程中，每个轮次只允许有一个报价。采购人不接受任何有选择的报价，报价超出预算的磋商供应商视为未实质性响应磋商文件，做无效响应处理。</w:t>
      </w:r>
    </w:p>
    <w:p>
      <w:pPr>
        <w:spacing w:line="400" w:lineRule="exact"/>
        <w:rPr>
          <w:rFonts w:ascii="宋体" w:hAnsi="宋体" w:cs="宋体"/>
          <w:b/>
          <w:sz w:val="24"/>
        </w:rPr>
      </w:pPr>
      <w:r>
        <w:rPr>
          <w:rFonts w:hint="eastAsia" w:ascii="宋体" w:hAnsi="宋体" w:cs="宋体"/>
          <w:b/>
          <w:sz w:val="24"/>
        </w:rPr>
        <w:t>13、磋商的货币</w:t>
      </w:r>
    </w:p>
    <w:p>
      <w:pPr>
        <w:spacing w:line="400" w:lineRule="exact"/>
        <w:ind w:firstLine="465"/>
        <w:rPr>
          <w:rFonts w:ascii="宋体" w:hAnsi="宋体" w:cs="宋体"/>
          <w:sz w:val="24"/>
        </w:rPr>
      </w:pPr>
      <w:r>
        <w:rPr>
          <w:rFonts w:hint="eastAsia" w:ascii="宋体" w:hAnsi="宋体" w:cs="宋体"/>
          <w:sz w:val="24"/>
        </w:rPr>
        <w:t>本次磋商的货币均以人民币为计算单位。</w:t>
      </w:r>
    </w:p>
    <w:p>
      <w:pPr>
        <w:spacing w:line="400" w:lineRule="exact"/>
        <w:rPr>
          <w:rFonts w:ascii="宋体" w:hAnsi="宋体" w:cs="宋体"/>
          <w:b/>
          <w:sz w:val="24"/>
        </w:rPr>
      </w:pPr>
      <w:r>
        <w:rPr>
          <w:rFonts w:hint="eastAsia" w:ascii="宋体" w:hAnsi="宋体" w:cs="宋体"/>
          <w:b/>
          <w:sz w:val="24"/>
        </w:rPr>
        <w:t>14、磋商保证金</w:t>
      </w:r>
    </w:p>
    <w:p>
      <w:pPr>
        <w:spacing w:line="400" w:lineRule="exact"/>
        <w:ind w:firstLine="480" w:firstLineChars="200"/>
        <w:rPr>
          <w:rFonts w:ascii="宋体" w:hAnsi="宋体" w:cs="宋体"/>
          <w:sz w:val="24"/>
        </w:rPr>
      </w:pPr>
      <w:r>
        <w:rPr>
          <w:rFonts w:hint="eastAsia" w:ascii="宋体" w:hAnsi="宋体" w:cs="宋体"/>
          <w:sz w:val="24"/>
        </w:rPr>
        <w:t>14.1磋商保证金的缴纳详见磋商文件第一章。</w:t>
      </w:r>
    </w:p>
    <w:p>
      <w:pPr>
        <w:pStyle w:val="13"/>
        <w:spacing w:line="400" w:lineRule="exact"/>
        <w:ind w:firstLine="480" w:firstLineChars="200"/>
        <w:rPr>
          <w:rFonts w:hAnsi="宋体" w:cs="宋体"/>
          <w:sz w:val="24"/>
          <w:szCs w:val="24"/>
        </w:rPr>
      </w:pPr>
      <w:r>
        <w:rPr>
          <w:rFonts w:hint="eastAsia" w:hAnsi="宋体" w:cs="宋体"/>
          <w:sz w:val="24"/>
          <w:szCs w:val="24"/>
        </w:rPr>
        <w:t>14.2磋商保证金是响应文件的有效组成部分，供应商未按照磋商文件要求提交磋商保证金的，响应无效</w:t>
      </w:r>
    </w:p>
    <w:p>
      <w:pPr>
        <w:widowControl/>
        <w:spacing w:line="400" w:lineRule="exact"/>
        <w:ind w:firstLine="480" w:firstLineChars="200"/>
        <w:rPr>
          <w:rFonts w:ascii="宋体" w:hAnsi="宋体" w:cs="宋体"/>
          <w:sz w:val="24"/>
        </w:rPr>
      </w:pPr>
      <w:r>
        <w:rPr>
          <w:rFonts w:hint="eastAsia" w:ascii="宋体" w:hAnsi="宋体" w:cs="宋体"/>
          <w:sz w:val="24"/>
        </w:rPr>
        <w:t>14.3有下列情形之一的，磋商保证金不予退还：</w:t>
      </w:r>
    </w:p>
    <w:p>
      <w:pPr>
        <w:widowControl/>
        <w:spacing w:line="400" w:lineRule="exact"/>
        <w:rPr>
          <w:rFonts w:ascii="宋体" w:hAnsi="宋体" w:cs="宋体"/>
          <w:sz w:val="24"/>
        </w:rPr>
      </w:pPr>
      <w:r>
        <w:rPr>
          <w:rFonts w:hint="eastAsia" w:ascii="宋体" w:hAnsi="宋体" w:cs="宋体"/>
          <w:sz w:val="24"/>
        </w:rPr>
        <w:t>　　（1）磋商供应商在提交响应文件截止时间后撤回响应文件的；</w:t>
      </w:r>
    </w:p>
    <w:p>
      <w:pPr>
        <w:widowControl/>
        <w:spacing w:line="400" w:lineRule="exact"/>
        <w:rPr>
          <w:rFonts w:ascii="宋体" w:hAnsi="宋体" w:cs="宋体"/>
          <w:sz w:val="24"/>
        </w:rPr>
      </w:pPr>
      <w:r>
        <w:rPr>
          <w:rFonts w:hint="eastAsia" w:ascii="宋体" w:hAnsi="宋体" w:cs="宋体"/>
          <w:sz w:val="24"/>
        </w:rPr>
        <w:t>　　（2）磋商供应商在响应文件中提供虚假材料的；</w:t>
      </w:r>
    </w:p>
    <w:p>
      <w:pPr>
        <w:widowControl/>
        <w:spacing w:line="400" w:lineRule="exact"/>
        <w:rPr>
          <w:rFonts w:ascii="宋体" w:hAnsi="宋体" w:cs="宋体"/>
          <w:sz w:val="24"/>
        </w:rPr>
      </w:pPr>
      <w:r>
        <w:rPr>
          <w:rFonts w:hint="eastAsia" w:ascii="宋体" w:hAnsi="宋体" w:cs="宋体"/>
          <w:sz w:val="24"/>
        </w:rPr>
        <w:t>　　（3）除因不可抗力或磋商文件认可的情形以外，成交供应商不与采购人签订合同的；</w:t>
      </w:r>
    </w:p>
    <w:p>
      <w:pPr>
        <w:widowControl/>
        <w:spacing w:line="400" w:lineRule="exact"/>
        <w:rPr>
          <w:rFonts w:ascii="宋体" w:hAnsi="宋体" w:cs="宋体"/>
          <w:sz w:val="24"/>
        </w:rPr>
      </w:pPr>
      <w:r>
        <w:rPr>
          <w:rFonts w:hint="eastAsia" w:ascii="宋体" w:hAnsi="宋体" w:cs="宋体"/>
          <w:sz w:val="24"/>
        </w:rPr>
        <w:t>　　（4）磋商供应商与采购人、其他供应商或者采购代理机构恶意串通的；</w:t>
      </w:r>
    </w:p>
    <w:p>
      <w:pPr>
        <w:widowControl/>
        <w:spacing w:line="400" w:lineRule="exact"/>
        <w:ind w:firstLine="480" w:firstLineChars="200"/>
        <w:rPr>
          <w:rFonts w:ascii="宋体" w:hAnsi="宋体" w:cs="宋体"/>
          <w:sz w:val="24"/>
        </w:rPr>
      </w:pPr>
      <w:r>
        <w:rPr>
          <w:rFonts w:hint="eastAsia" w:ascii="宋体" w:hAnsi="宋体" w:cs="宋体"/>
          <w:sz w:val="24"/>
        </w:rPr>
        <w:t>（5）磋商文件规定的其他情形。</w:t>
      </w:r>
    </w:p>
    <w:p>
      <w:pPr>
        <w:pStyle w:val="13"/>
        <w:spacing w:line="400" w:lineRule="exact"/>
        <w:ind w:firstLine="480" w:firstLineChars="200"/>
        <w:rPr>
          <w:rFonts w:hAnsi="宋体" w:cs="宋体"/>
          <w:sz w:val="24"/>
          <w:szCs w:val="24"/>
          <w:highlight w:val="none"/>
        </w:rPr>
      </w:pPr>
      <w:r>
        <w:rPr>
          <w:rFonts w:hint="eastAsia" w:hAnsi="宋体" w:cs="宋体"/>
          <w:sz w:val="24"/>
          <w:szCs w:val="24"/>
        </w:rPr>
        <w:t>14.4磋商保证金退付</w:t>
      </w:r>
    </w:p>
    <w:p>
      <w:pPr>
        <w:pStyle w:val="13"/>
        <w:spacing w:line="400" w:lineRule="exact"/>
        <w:ind w:firstLine="360" w:firstLineChars="150"/>
        <w:rPr>
          <w:rFonts w:hAnsi="宋体" w:cs="宋体"/>
          <w:sz w:val="24"/>
          <w:szCs w:val="24"/>
          <w:highlight w:val="none"/>
        </w:rPr>
      </w:pPr>
      <w:r>
        <w:rPr>
          <w:rFonts w:hint="eastAsia" w:hAnsi="宋体" w:cs="宋体"/>
          <w:sz w:val="24"/>
          <w:szCs w:val="24"/>
          <w:highlight w:val="none"/>
        </w:rPr>
        <w:t xml:space="preserve">  (1)成交供应商的磋商保证金退回至原账户；</w:t>
      </w:r>
    </w:p>
    <w:p>
      <w:pPr>
        <w:spacing w:line="400" w:lineRule="exact"/>
        <w:rPr>
          <w:rFonts w:ascii="宋体" w:hAnsi="宋体" w:cs="宋体"/>
          <w:sz w:val="24"/>
        </w:rPr>
      </w:pPr>
      <w:r>
        <w:rPr>
          <w:rFonts w:hint="eastAsia" w:ascii="宋体" w:hAnsi="宋体" w:cs="宋体"/>
          <w:sz w:val="24"/>
        </w:rPr>
        <w:t xml:space="preserve">     (2)未成交供应商的磋商保证金在中标通知书发出后5个工作日内退还。</w:t>
      </w:r>
    </w:p>
    <w:p>
      <w:pPr>
        <w:spacing w:line="400" w:lineRule="exact"/>
        <w:rPr>
          <w:rFonts w:ascii="宋体" w:hAnsi="宋体" w:cs="宋体"/>
          <w:sz w:val="24"/>
        </w:rPr>
      </w:pPr>
      <w:r>
        <w:rPr>
          <w:rFonts w:hint="eastAsia" w:ascii="宋体" w:hAnsi="宋体" w:cs="宋体"/>
          <w:b/>
          <w:sz w:val="24"/>
        </w:rPr>
        <w:t>15、履约保证金</w:t>
      </w:r>
    </w:p>
    <w:p>
      <w:pPr>
        <w:spacing w:line="400" w:lineRule="exact"/>
        <w:ind w:firstLine="480" w:firstLineChars="200"/>
        <w:rPr>
          <w:rFonts w:ascii="宋体" w:hAnsi="宋体" w:cs="宋体"/>
          <w:sz w:val="24"/>
          <w:highlight w:val="none"/>
        </w:rPr>
      </w:pPr>
      <w:r>
        <w:rPr>
          <w:rFonts w:hint="eastAsia" w:ascii="宋体" w:hAnsi="宋体" w:cs="宋体"/>
          <w:sz w:val="24"/>
        </w:rPr>
        <w:t>成交供应商在项目中标后，须在5个工作日内将履约保证金汇入以下保证金专户，其所缴纳的该项目磋商保证金自动转作履约保证金，不足部分需补齐差额。成交供应商凭银行转账凭证换取履约保证金收据，领取中标通知书。</w:t>
      </w:r>
      <w:r>
        <w:rPr>
          <w:rFonts w:hint="eastAsia" w:ascii="宋体" w:hAnsi="宋体" w:cs="宋体"/>
          <w:sz w:val="24"/>
          <w:highlight w:val="none"/>
        </w:rPr>
        <w:t>履约保证金金额为:本项目暂不收取。</w:t>
      </w:r>
    </w:p>
    <w:p>
      <w:pPr>
        <w:spacing w:line="400" w:lineRule="exact"/>
        <w:rPr>
          <w:rFonts w:ascii="宋体" w:hAnsi="宋体" w:cs="宋体"/>
          <w:b/>
          <w:sz w:val="24"/>
        </w:rPr>
      </w:pPr>
      <w:r>
        <w:rPr>
          <w:rFonts w:hint="eastAsia" w:ascii="宋体" w:hAnsi="宋体" w:cs="宋体"/>
          <w:b/>
          <w:sz w:val="24"/>
        </w:rPr>
        <w:t>16、竞争性磋商有效期（响应文件有效期）</w:t>
      </w:r>
    </w:p>
    <w:p>
      <w:pPr>
        <w:spacing w:line="400" w:lineRule="exact"/>
        <w:ind w:firstLine="480"/>
        <w:rPr>
          <w:rFonts w:ascii="宋体" w:hAnsi="宋体" w:cs="宋体"/>
          <w:sz w:val="24"/>
        </w:rPr>
      </w:pPr>
      <w:r>
        <w:rPr>
          <w:rFonts w:hint="eastAsia" w:ascii="宋体" w:hAnsi="宋体" w:cs="宋体"/>
          <w:sz w:val="24"/>
        </w:rPr>
        <w:t>16.1竞争性磋商有效期以本磋商文件第一章规定的响应文件有效期为准，有效期短于此规定的响应文件将被视为无效响应文件。</w:t>
      </w:r>
    </w:p>
    <w:p>
      <w:pPr>
        <w:spacing w:line="400" w:lineRule="exact"/>
        <w:ind w:firstLine="480"/>
        <w:rPr>
          <w:rFonts w:ascii="宋体" w:hAnsi="宋体" w:cs="宋体"/>
          <w:sz w:val="24"/>
        </w:rPr>
      </w:pPr>
      <w:r>
        <w:rPr>
          <w:rFonts w:hint="eastAsia" w:ascii="宋体" w:hAnsi="宋体" w:cs="宋体"/>
          <w:sz w:val="24"/>
        </w:rPr>
        <w:t>16.2在特殊情况下，采购人可于竞争性磋商有效期满前，征得磋商供应商同意延长竞争性磋商有效期，要求与答复均以书面形式进行。磋商供应商可以拒绝接受这一要求而放弃竞争性磋商。同意这一要求的磋商供应商，无需也不允许修改其响应文件，受竞争性磋商有效期制约的所有权利和义务均应延长至新的有效期。</w:t>
      </w:r>
    </w:p>
    <w:p>
      <w:pPr>
        <w:spacing w:line="400" w:lineRule="exact"/>
        <w:rPr>
          <w:rFonts w:ascii="宋体" w:hAnsi="宋体" w:cs="宋体"/>
          <w:b/>
          <w:sz w:val="24"/>
        </w:rPr>
      </w:pPr>
      <w:r>
        <w:rPr>
          <w:rFonts w:hint="eastAsia" w:ascii="宋体" w:hAnsi="宋体" w:cs="宋体"/>
          <w:b/>
          <w:sz w:val="24"/>
        </w:rPr>
        <w:t>17、响应文件的签署及形式</w:t>
      </w:r>
    </w:p>
    <w:p>
      <w:pPr>
        <w:spacing w:line="400" w:lineRule="exact"/>
        <w:ind w:firstLine="480" w:firstLineChars="200"/>
        <w:rPr>
          <w:rFonts w:ascii="宋体" w:hAnsi="宋体" w:cs="宋体"/>
          <w:sz w:val="24"/>
        </w:rPr>
      </w:pPr>
      <w:r>
        <w:rPr>
          <w:rFonts w:hint="eastAsia" w:ascii="宋体" w:hAnsi="宋体" w:cs="宋体"/>
          <w:sz w:val="24"/>
        </w:rPr>
        <w:t>17.1响应文件应按本磋商文件第六章“响应文件格式”中有关要求与格式编制，并包括应有的附件和磋商供应商认为需提供的其它资料。</w:t>
      </w:r>
    </w:p>
    <w:p>
      <w:pPr>
        <w:spacing w:line="400" w:lineRule="exact"/>
        <w:ind w:firstLine="482" w:firstLineChars="200"/>
        <w:rPr>
          <w:rFonts w:ascii="宋体" w:hAnsi="宋体" w:cs="宋体"/>
          <w:b/>
          <w:bCs/>
          <w:sz w:val="24"/>
        </w:rPr>
      </w:pPr>
      <w:r>
        <w:rPr>
          <w:rFonts w:hint="eastAsia" w:ascii="宋体" w:hAnsi="宋体" w:cs="宋体"/>
          <w:b/>
          <w:bCs/>
          <w:sz w:val="24"/>
        </w:rPr>
        <w:t>17.2磋商供应商均应提交一式叁份响应文件，其中正本壹份，副本贰份。每份响应文件均需在封面上清楚标明“正本”或“副本”字样。</w:t>
      </w:r>
    </w:p>
    <w:p>
      <w:pPr>
        <w:spacing w:line="400" w:lineRule="exact"/>
        <w:ind w:firstLine="480" w:firstLineChars="200"/>
        <w:rPr>
          <w:rFonts w:ascii="宋体" w:hAnsi="宋体" w:cs="宋体"/>
          <w:sz w:val="24"/>
        </w:rPr>
      </w:pPr>
      <w:r>
        <w:rPr>
          <w:rFonts w:hint="eastAsia" w:ascii="宋体" w:hAnsi="宋体" w:cs="宋体"/>
          <w:sz w:val="24"/>
        </w:rPr>
        <w:t>17.3如果“正本”和“副本”不一致时，以“正本”为准。</w:t>
      </w:r>
    </w:p>
    <w:p>
      <w:pPr>
        <w:pStyle w:val="15"/>
        <w:spacing w:after="0" w:line="400" w:lineRule="exact"/>
        <w:ind w:left="0" w:leftChars="0" w:firstLine="480" w:firstLineChars="200"/>
        <w:rPr>
          <w:rFonts w:ascii="宋体" w:hAnsi="宋体" w:cs="宋体"/>
          <w:sz w:val="24"/>
        </w:rPr>
      </w:pPr>
      <w:r>
        <w:rPr>
          <w:rFonts w:hint="eastAsia" w:ascii="宋体" w:hAnsi="宋体" w:cs="宋体"/>
          <w:sz w:val="24"/>
        </w:rPr>
        <w:t>17.4响应文件的正本和副本均需按磋商文件要求由磋商供应商法人代表或其授权代表签字并加盖公章。</w:t>
      </w:r>
    </w:p>
    <w:p>
      <w:pPr>
        <w:pStyle w:val="15"/>
        <w:spacing w:after="0" w:line="400" w:lineRule="exact"/>
        <w:ind w:left="0" w:leftChars="0" w:firstLine="480" w:firstLineChars="200"/>
        <w:rPr>
          <w:rFonts w:ascii="宋体" w:hAnsi="宋体" w:cs="宋体"/>
          <w:sz w:val="24"/>
        </w:rPr>
      </w:pPr>
      <w:r>
        <w:rPr>
          <w:rFonts w:hint="eastAsia" w:ascii="宋体" w:hAnsi="宋体" w:cs="宋体"/>
          <w:sz w:val="24"/>
        </w:rPr>
        <w:t>17.5授权代表参加竞争性磋商和报价并签字的，必须提供书面形式的“法人代表授权书”并附在响应文件中。</w:t>
      </w:r>
    </w:p>
    <w:p>
      <w:pPr>
        <w:pStyle w:val="15"/>
        <w:spacing w:after="0" w:line="400" w:lineRule="exact"/>
        <w:ind w:left="0" w:leftChars="0" w:firstLine="480" w:firstLineChars="200"/>
        <w:rPr>
          <w:rFonts w:ascii="宋体" w:hAnsi="宋体" w:cs="宋体"/>
          <w:sz w:val="24"/>
        </w:rPr>
      </w:pPr>
      <w:r>
        <w:rPr>
          <w:rFonts w:hint="eastAsia" w:ascii="宋体" w:hAnsi="宋体" w:cs="宋体"/>
          <w:sz w:val="24"/>
        </w:rPr>
        <w:t>17.6响应文件不得行间插字、涂改或增删，如有修改错漏处，必须由法人代表或授权委托人签字或者盖章。</w:t>
      </w:r>
    </w:p>
    <w:p>
      <w:pPr>
        <w:widowControl/>
        <w:spacing w:line="400" w:lineRule="exact"/>
        <w:rPr>
          <w:rFonts w:ascii="宋体" w:hAnsi="宋体" w:cs="宋体"/>
          <w:b/>
          <w:bCs/>
          <w:sz w:val="24"/>
        </w:rPr>
      </w:pPr>
      <w:r>
        <w:rPr>
          <w:rFonts w:hint="eastAsia" w:ascii="宋体" w:hAnsi="宋体" w:cs="宋体"/>
          <w:b/>
          <w:bCs/>
          <w:sz w:val="24"/>
        </w:rPr>
        <w:t>四、响应文件的递交</w:t>
      </w:r>
    </w:p>
    <w:p>
      <w:pPr>
        <w:widowControl/>
        <w:spacing w:line="400" w:lineRule="exact"/>
        <w:rPr>
          <w:rFonts w:ascii="宋体" w:hAnsi="宋体" w:cs="宋体"/>
          <w:b/>
          <w:bCs/>
          <w:sz w:val="24"/>
        </w:rPr>
      </w:pPr>
      <w:r>
        <w:rPr>
          <w:rFonts w:hint="eastAsia" w:ascii="宋体" w:hAnsi="宋体" w:cs="宋体"/>
          <w:b/>
          <w:bCs/>
          <w:sz w:val="24"/>
        </w:rPr>
        <w:t>18、响应文件的密封及标记</w:t>
      </w:r>
    </w:p>
    <w:p>
      <w:pPr>
        <w:widowControl/>
        <w:spacing w:line="400" w:lineRule="exact"/>
        <w:ind w:firstLine="480" w:firstLineChars="200"/>
        <w:rPr>
          <w:rFonts w:ascii="宋体" w:hAnsi="宋体" w:cs="宋体"/>
          <w:sz w:val="24"/>
        </w:rPr>
      </w:pPr>
      <w:r>
        <w:rPr>
          <w:rFonts w:hint="eastAsia" w:ascii="宋体" w:hAnsi="宋体" w:cs="宋体"/>
          <w:sz w:val="24"/>
        </w:rPr>
        <w:t>18.1响应文件的正本和副本密封在密封袋中，并在密封袋上标明“正本”、“副本”字样，封口处加盖磋商供应商公章。</w:t>
      </w:r>
    </w:p>
    <w:p>
      <w:pPr>
        <w:widowControl/>
        <w:spacing w:line="400" w:lineRule="exact"/>
        <w:ind w:firstLine="480" w:firstLineChars="200"/>
        <w:rPr>
          <w:rFonts w:ascii="宋体" w:hAnsi="宋体" w:cs="宋体"/>
          <w:sz w:val="24"/>
        </w:rPr>
      </w:pPr>
      <w:r>
        <w:rPr>
          <w:rFonts w:hint="eastAsia" w:ascii="宋体" w:hAnsi="宋体" w:cs="宋体"/>
          <w:sz w:val="24"/>
        </w:rPr>
        <w:t>18.2密封袋上须注明：</w:t>
      </w:r>
    </w:p>
    <w:p>
      <w:pPr>
        <w:widowControl/>
        <w:spacing w:line="400" w:lineRule="exact"/>
        <w:ind w:firstLine="480" w:firstLineChars="200"/>
        <w:rPr>
          <w:rFonts w:ascii="宋体" w:hAnsi="宋体" w:cs="宋体"/>
          <w:sz w:val="24"/>
        </w:rPr>
      </w:pPr>
      <w:r>
        <w:rPr>
          <w:rFonts w:hint="eastAsia" w:ascii="宋体" w:hAnsi="宋体" w:cs="宋体"/>
          <w:sz w:val="24"/>
        </w:rPr>
        <w:t>（1）采购项目编号及项目名称</w:t>
      </w:r>
    </w:p>
    <w:p>
      <w:pPr>
        <w:widowControl/>
        <w:spacing w:line="400" w:lineRule="exact"/>
        <w:ind w:firstLine="480" w:firstLineChars="200"/>
        <w:rPr>
          <w:rFonts w:ascii="宋体" w:hAnsi="宋体" w:cs="宋体"/>
          <w:sz w:val="24"/>
        </w:rPr>
      </w:pPr>
      <w:r>
        <w:rPr>
          <w:rFonts w:hint="eastAsia" w:ascii="宋体" w:hAnsi="宋体" w:cs="宋体"/>
          <w:sz w:val="24"/>
        </w:rPr>
        <w:t>（2）磋商供应商的名称、地址、联系人、联系电话和传真</w:t>
      </w:r>
    </w:p>
    <w:p>
      <w:pPr>
        <w:widowControl/>
        <w:spacing w:line="400" w:lineRule="exact"/>
        <w:ind w:firstLine="480" w:firstLineChars="200"/>
        <w:rPr>
          <w:rFonts w:ascii="宋体" w:hAnsi="宋体" w:cs="宋体"/>
          <w:sz w:val="24"/>
        </w:rPr>
      </w:pPr>
      <w:r>
        <w:rPr>
          <w:rFonts w:hint="eastAsia" w:ascii="宋体" w:hAnsi="宋体" w:cs="宋体"/>
          <w:sz w:val="24"/>
        </w:rPr>
        <w:t>18.3响应文件未按17.1和17.2条密封和标记的，采购代理机构不对响应文件被错放或先期启封负责。</w:t>
      </w:r>
    </w:p>
    <w:p>
      <w:pPr>
        <w:widowControl/>
        <w:spacing w:line="400" w:lineRule="exact"/>
        <w:ind w:firstLine="480" w:firstLineChars="200"/>
        <w:rPr>
          <w:rFonts w:ascii="宋体" w:hAnsi="宋体" w:cs="宋体"/>
          <w:sz w:val="24"/>
        </w:rPr>
      </w:pPr>
      <w:r>
        <w:rPr>
          <w:rFonts w:hint="eastAsia" w:ascii="宋体" w:hAnsi="宋体" w:cs="宋体"/>
          <w:sz w:val="24"/>
        </w:rPr>
        <w:t>18.4响应文件未密封的，采购代理机构有权拒绝接受该响应文件。</w:t>
      </w:r>
    </w:p>
    <w:p>
      <w:pPr>
        <w:widowControl/>
        <w:spacing w:line="400" w:lineRule="exact"/>
        <w:rPr>
          <w:rFonts w:ascii="宋体" w:hAnsi="宋体" w:cs="宋体"/>
          <w:b/>
          <w:sz w:val="24"/>
        </w:rPr>
      </w:pPr>
      <w:r>
        <w:rPr>
          <w:rFonts w:hint="eastAsia" w:ascii="宋体" w:hAnsi="宋体" w:cs="宋体"/>
          <w:b/>
          <w:sz w:val="24"/>
        </w:rPr>
        <w:t>19、提交首次响应文件截止时间</w:t>
      </w:r>
    </w:p>
    <w:p>
      <w:pPr>
        <w:widowControl/>
        <w:spacing w:line="400" w:lineRule="exact"/>
        <w:ind w:firstLine="480" w:firstLineChars="200"/>
        <w:rPr>
          <w:rFonts w:ascii="宋体" w:hAnsi="宋体" w:cs="宋体"/>
          <w:sz w:val="24"/>
        </w:rPr>
      </w:pPr>
      <w:r>
        <w:rPr>
          <w:rFonts w:hint="eastAsia" w:ascii="宋体" w:hAnsi="宋体" w:cs="宋体"/>
          <w:sz w:val="24"/>
        </w:rPr>
        <w:t>19.1磋商供应商应在磋商文件第一章“竞争性磋商邀请书”规定的提交首次响应文件截止时间前将响应文件密封送达指定地点。</w:t>
      </w:r>
    </w:p>
    <w:p>
      <w:pPr>
        <w:widowControl/>
        <w:spacing w:line="400" w:lineRule="exact"/>
        <w:rPr>
          <w:rFonts w:ascii="宋体" w:hAnsi="宋体" w:cs="宋体"/>
          <w:b/>
          <w:sz w:val="24"/>
        </w:rPr>
      </w:pPr>
      <w:r>
        <w:rPr>
          <w:rFonts w:hint="eastAsia" w:ascii="宋体" w:hAnsi="宋体" w:cs="宋体"/>
          <w:b/>
          <w:sz w:val="24"/>
        </w:rPr>
        <w:t>20、迟交的响应文件</w:t>
      </w:r>
    </w:p>
    <w:p>
      <w:pPr>
        <w:widowControl/>
        <w:spacing w:line="400" w:lineRule="exact"/>
        <w:ind w:firstLine="480" w:firstLineChars="200"/>
        <w:rPr>
          <w:rFonts w:ascii="宋体" w:hAnsi="宋体" w:cs="宋体"/>
          <w:sz w:val="24"/>
        </w:rPr>
      </w:pPr>
      <w:r>
        <w:rPr>
          <w:rFonts w:hint="eastAsia" w:ascii="宋体" w:hAnsi="宋体" w:cs="宋体"/>
          <w:sz w:val="24"/>
        </w:rPr>
        <w:t>20.1供应商应当在磋商文件要求的截止时间前，将响应文件密封送达指定地点。在截止时间后送达的响应文件为无效文件，采购人、采购代理机构或者磋商小组应当拒收。</w:t>
      </w:r>
    </w:p>
    <w:p>
      <w:pPr>
        <w:widowControl/>
        <w:spacing w:line="400" w:lineRule="exact"/>
        <w:rPr>
          <w:rFonts w:ascii="宋体" w:hAnsi="宋体" w:cs="宋体"/>
          <w:b/>
          <w:sz w:val="24"/>
        </w:rPr>
      </w:pPr>
      <w:r>
        <w:rPr>
          <w:rFonts w:hint="eastAsia" w:ascii="宋体" w:hAnsi="宋体" w:cs="宋体"/>
          <w:b/>
          <w:sz w:val="24"/>
        </w:rPr>
        <w:t>21、响应文件的修改和撤回</w:t>
      </w:r>
    </w:p>
    <w:p>
      <w:pPr>
        <w:widowControl/>
        <w:spacing w:line="400" w:lineRule="exact"/>
        <w:ind w:firstLine="480" w:firstLineChars="200"/>
        <w:rPr>
          <w:rFonts w:ascii="宋体" w:hAnsi="宋体" w:cs="宋体"/>
          <w:sz w:val="24"/>
        </w:rPr>
      </w:pPr>
      <w:r>
        <w:rPr>
          <w:rFonts w:hint="eastAsia" w:ascii="宋体" w:hAnsi="宋体" w:cs="宋体"/>
          <w:sz w:val="24"/>
        </w:rPr>
        <w:t>21.1磋商供应商在提交首次响应文件截止时间前，可以对所提交的响应文件进行补充、修改或者撤回，并书面通知采购人、采购代理机构。</w:t>
      </w:r>
    </w:p>
    <w:p>
      <w:pPr>
        <w:widowControl/>
        <w:spacing w:line="400" w:lineRule="exact"/>
        <w:ind w:firstLine="480" w:firstLineChars="200"/>
        <w:rPr>
          <w:rFonts w:ascii="宋体" w:hAnsi="宋体" w:cs="宋体"/>
          <w:sz w:val="24"/>
        </w:rPr>
      </w:pPr>
      <w:r>
        <w:rPr>
          <w:rFonts w:hint="eastAsia" w:ascii="宋体" w:hAnsi="宋体" w:cs="宋体"/>
          <w:sz w:val="24"/>
        </w:rPr>
        <w:t>21.2补充、修改的内容作为响应文件的组成部分。补充、修改的内容与响应文件不一致的，以补充、修改的内容为准。</w:t>
      </w:r>
    </w:p>
    <w:p>
      <w:pPr>
        <w:widowControl/>
        <w:spacing w:line="400" w:lineRule="exact"/>
        <w:ind w:firstLine="482" w:firstLineChars="200"/>
        <w:rPr>
          <w:rFonts w:ascii="宋体" w:hAnsi="宋体" w:cs="宋体"/>
          <w:b/>
          <w:bCs/>
          <w:sz w:val="24"/>
        </w:rPr>
      </w:pPr>
      <w:r>
        <w:rPr>
          <w:rFonts w:hint="eastAsia" w:ascii="宋体" w:hAnsi="宋体" w:cs="宋体"/>
          <w:b/>
          <w:sz w:val="24"/>
        </w:rPr>
        <w:t>五、竞争性磋商及报价</w:t>
      </w:r>
    </w:p>
    <w:p>
      <w:pPr>
        <w:pStyle w:val="13"/>
        <w:spacing w:line="400" w:lineRule="exact"/>
        <w:rPr>
          <w:rFonts w:hAnsi="宋体" w:cs="宋体"/>
          <w:b/>
          <w:bCs/>
          <w:sz w:val="24"/>
          <w:szCs w:val="24"/>
        </w:rPr>
      </w:pPr>
      <w:r>
        <w:rPr>
          <w:rFonts w:hint="eastAsia" w:hAnsi="宋体" w:cs="宋体"/>
          <w:b/>
          <w:bCs/>
          <w:sz w:val="24"/>
          <w:szCs w:val="24"/>
        </w:rPr>
        <w:t>22、竞争性磋商及报价</w:t>
      </w:r>
    </w:p>
    <w:p>
      <w:pPr>
        <w:pStyle w:val="13"/>
        <w:spacing w:line="400" w:lineRule="exact"/>
        <w:ind w:firstLine="480" w:firstLineChars="200"/>
        <w:rPr>
          <w:rFonts w:hAnsi="宋体" w:cs="宋体"/>
          <w:sz w:val="24"/>
          <w:szCs w:val="24"/>
        </w:rPr>
      </w:pPr>
      <w:r>
        <w:rPr>
          <w:rFonts w:hint="eastAsia" w:hAnsi="宋体" w:cs="宋体"/>
          <w:sz w:val="24"/>
          <w:szCs w:val="24"/>
        </w:rPr>
        <w:t>22.1采购代理机构按竞争性磋商文件第一章规定的时间和地点组织竞争性磋商及报价。</w:t>
      </w:r>
    </w:p>
    <w:p>
      <w:pPr>
        <w:pStyle w:val="13"/>
        <w:spacing w:line="400" w:lineRule="exact"/>
        <w:ind w:firstLine="480" w:firstLineChars="200"/>
        <w:rPr>
          <w:rFonts w:hAnsi="宋体" w:cs="宋体"/>
          <w:sz w:val="24"/>
          <w:szCs w:val="24"/>
        </w:rPr>
      </w:pPr>
      <w:r>
        <w:rPr>
          <w:rFonts w:hint="eastAsia" w:hAnsi="宋体" w:cs="宋体"/>
          <w:sz w:val="24"/>
          <w:szCs w:val="24"/>
        </w:rPr>
        <w:t>22.2磋商供应商应委派授权委托人参加竞争性磋商及报价，授权委托人应随身携带身份证原件。</w:t>
      </w:r>
    </w:p>
    <w:p>
      <w:pPr>
        <w:pStyle w:val="13"/>
        <w:spacing w:line="400" w:lineRule="exact"/>
        <w:ind w:firstLine="480" w:firstLineChars="200"/>
        <w:rPr>
          <w:rFonts w:hAnsi="宋体" w:cs="宋体"/>
          <w:sz w:val="24"/>
          <w:szCs w:val="24"/>
        </w:rPr>
      </w:pPr>
      <w:r>
        <w:rPr>
          <w:rFonts w:hint="eastAsia" w:hAnsi="宋体" w:cs="宋体"/>
          <w:sz w:val="24"/>
          <w:szCs w:val="24"/>
        </w:rPr>
        <w:t>22.3磋商供应商的授权委托人应在磋商文件第一章规定的提交首次响应文件截止时间前签到并递交响应文件。</w:t>
      </w:r>
    </w:p>
    <w:p>
      <w:pPr>
        <w:spacing w:line="400" w:lineRule="exact"/>
        <w:ind w:firstLine="480" w:firstLineChars="200"/>
        <w:rPr>
          <w:rFonts w:ascii="宋体" w:hAnsi="宋体" w:cs="宋体"/>
          <w:sz w:val="24"/>
        </w:rPr>
      </w:pPr>
      <w:r>
        <w:rPr>
          <w:rFonts w:hint="eastAsia" w:ascii="宋体" w:hAnsi="宋体" w:cs="宋体"/>
          <w:sz w:val="24"/>
        </w:rPr>
        <w:t>22.4竞争性磋商的开标会由采购代理机构主持，采购人代表、监督代表、供应商代表以及有关工作人员参加。</w:t>
      </w:r>
    </w:p>
    <w:p>
      <w:pPr>
        <w:pStyle w:val="13"/>
        <w:spacing w:line="400" w:lineRule="exact"/>
        <w:ind w:firstLine="480" w:firstLineChars="200"/>
        <w:rPr>
          <w:rFonts w:hAnsi="宋体" w:cs="宋体"/>
          <w:sz w:val="24"/>
          <w:szCs w:val="24"/>
        </w:rPr>
      </w:pPr>
      <w:r>
        <w:rPr>
          <w:rFonts w:hint="eastAsia" w:hAnsi="宋体" w:cs="宋体"/>
          <w:sz w:val="24"/>
          <w:szCs w:val="24"/>
        </w:rPr>
        <w:t>22.5开标时由供应商代表查验响应文件密封情况，查验后，响应文件密封移交磋商小组。</w:t>
      </w:r>
    </w:p>
    <w:p>
      <w:pPr>
        <w:pStyle w:val="13"/>
        <w:spacing w:line="400" w:lineRule="exact"/>
        <w:ind w:firstLine="480" w:firstLineChars="200"/>
        <w:rPr>
          <w:rFonts w:hAnsi="宋体" w:cs="宋体"/>
          <w:sz w:val="24"/>
          <w:szCs w:val="24"/>
        </w:rPr>
      </w:pPr>
      <w:r>
        <w:rPr>
          <w:rFonts w:hint="eastAsia" w:hAnsi="宋体" w:cs="宋体"/>
          <w:sz w:val="24"/>
          <w:szCs w:val="24"/>
        </w:rPr>
        <w:t>22.6磋商时，磋商小组将核实参加磋商的供应商代表是否与响应文件中授权委托书中的代表一致。未派授权委托人参加磋商，或不能证明其授权委托人身份或实际参加磋商的代表与响应文件中授权委托书中的代表不一致的，磋商小组有权取消该磋商供应商的磋商资格。</w:t>
      </w:r>
    </w:p>
    <w:p>
      <w:pPr>
        <w:pStyle w:val="13"/>
        <w:spacing w:line="400" w:lineRule="exact"/>
        <w:rPr>
          <w:rFonts w:hAnsi="宋体" w:cs="宋体"/>
          <w:b/>
          <w:sz w:val="24"/>
          <w:szCs w:val="24"/>
        </w:rPr>
      </w:pPr>
      <w:r>
        <w:rPr>
          <w:rFonts w:hint="eastAsia" w:hAnsi="宋体" w:cs="宋体"/>
          <w:b/>
          <w:sz w:val="24"/>
          <w:szCs w:val="24"/>
        </w:rPr>
        <w:t>23、磋商小组</w:t>
      </w:r>
    </w:p>
    <w:p>
      <w:pPr>
        <w:spacing w:line="400" w:lineRule="exact"/>
        <w:rPr>
          <w:rFonts w:ascii="宋体" w:hAnsi="宋体" w:cs="宋体"/>
          <w:bCs/>
          <w:sz w:val="24"/>
        </w:rPr>
      </w:pPr>
      <w:r>
        <w:rPr>
          <w:rFonts w:hint="eastAsia" w:ascii="宋体" w:hAnsi="宋体" w:cs="宋体"/>
          <w:sz w:val="24"/>
        </w:rPr>
        <w:t xml:space="preserve">    23.1</w:t>
      </w:r>
      <w:r>
        <w:rPr>
          <w:rFonts w:hint="eastAsia" w:ascii="宋体" w:hAnsi="宋体" w:cs="宋体"/>
          <w:bCs/>
          <w:sz w:val="24"/>
        </w:rPr>
        <w:t>磋商小组的成立</w:t>
      </w:r>
    </w:p>
    <w:p>
      <w:pPr>
        <w:spacing w:line="400" w:lineRule="exact"/>
        <w:ind w:firstLine="480"/>
        <w:rPr>
          <w:rFonts w:ascii="宋体" w:hAnsi="宋体" w:cs="宋体"/>
          <w:sz w:val="24"/>
        </w:rPr>
      </w:pPr>
      <w:r>
        <w:rPr>
          <w:rFonts w:hint="eastAsia" w:ascii="宋体" w:hAnsi="宋体" w:cs="宋体"/>
          <w:sz w:val="24"/>
        </w:rPr>
        <w:t>磋商小组由采购人代表和评审专家共3人以上单数组成，其中评审专家人数不得少于磋商小组成员总数的2/3。</w:t>
      </w:r>
    </w:p>
    <w:p>
      <w:pPr>
        <w:spacing w:line="400" w:lineRule="exact"/>
        <w:ind w:firstLine="480"/>
        <w:rPr>
          <w:rFonts w:ascii="宋体" w:hAnsi="宋体" w:cs="宋体"/>
          <w:sz w:val="24"/>
        </w:rPr>
      </w:pPr>
      <w:r>
        <w:rPr>
          <w:rFonts w:hint="eastAsia" w:ascii="宋体" w:hAnsi="宋体" w:cs="宋体"/>
          <w:sz w:val="24"/>
        </w:rPr>
        <w:t>23.2采购人代表不得以评审专家身份参加本部门或本单位采购项目的评审。采购代理机构人员不得参加本机构代理的采购项目的评审。</w:t>
      </w:r>
    </w:p>
    <w:p>
      <w:pPr>
        <w:spacing w:line="400" w:lineRule="exact"/>
        <w:rPr>
          <w:rFonts w:ascii="宋体" w:hAnsi="宋体" w:cs="宋体"/>
          <w:sz w:val="24"/>
        </w:rPr>
      </w:pPr>
      <w:r>
        <w:rPr>
          <w:rFonts w:hint="eastAsia" w:ascii="宋体" w:hAnsi="宋体" w:cs="宋体"/>
          <w:sz w:val="24"/>
        </w:rPr>
        <w:t xml:space="preserve">    23.3磋商小组成员应当遵守评审工作纪律，不得泄露评审情况和评审中获悉的商业秘密。</w:t>
      </w:r>
    </w:p>
    <w:p>
      <w:pPr>
        <w:pStyle w:val="13"/>
        <w:spacing w:line="400" w:lineRule="exact"/>
        <w:rPr>
          <w:rFonts w:hAnsi="宋体" w:cs="宋体"/>
          <w:b/>
          <w:bCs/>
          <w:sz w:val="24"/>
          <w:szCs w:val="24"/>
        </w:rPr>
      </w:pPr>
      <w:r>
        <w:rPr>
          <w:rFonts w:hint="eastAsia" w:hAnsi="宋体" w:cs="宋体"/>
          <w:b/>
          <w:bCs/>
          <w:sz w:val="24"/>
          <w:szCs w:val="24"/>
        </w:rPr>
        <w:t>24、磋商小组磋商原则</w:t>
      </w:r>
    </w:p>
    <w:p>
      <w:pPr>
        <w:spacing w:line="400" w:lineRule="exact"/>
        <w:ind w:firstLine="480" w:firstLineChars="200"/>
        <w:rPr>
          <w:rFonts w:ascii="宋体" w:hAnsi="宋体" w:cs="宋体"/>
          <w:sz w:val="24"/>
        </w:rPr>
      </w:pPr>
      <w:r>
        <w:rPr>
          <w:rFonts w:hint="eastAsia" w:ascii="宋体" w:hAnsi="宋体" w:cs="宋体"/>
          <w:sz w:val="24"/>
        </w:rPr>
        <w:t>24.1磋商小组成员应当按照客观、公正、审慎的原则，根据磋商文件规定的评审程序、方法和标准进行独立评审，并对评审意见承担个人责任。</w:t>
      </w:r>
    </w:p>
    <w:p>
      <w:pPr>
        <w:spacing w:line="400" w:lineRule="exact"/>
        <w:ind w:firstLine="480" w:firstLineChars="200"/>
        <w:rPr>
          <w:rFonts w:ascii="宋体" w:hAnsi="宋体" w:cs="宋体"/>
          <w:sz w:val="24"/>
        </w:rPr>
      </w:pPr>
      <w:r>
        <w:rPr>
          <w:rFonts w:hint="eastAsia" w:ascii="宋体" w:hAnsi="宋体" w:cs="宋体"/>
          <w:sz w:val="24"/>
        </w:rPr>
        <w:t>24.2磋商小组成员对需要共同认定的事项存在争议的，经与采购人沟通后，按照少数服从多数的原则做出结论。持不同意见的磋商小组成员应当在评审报告上签署不同意见并说明理由，否则视为同意。</w:t>
      </w:r>
    </w:p>
    <w:p>
      <w:pPr>
        <w:spacing w:line="400" w:lineRule="exact"/>
        <w:ind w:firstLine="480" w:firstLineChars="200"/>
        <w:rPr>
          <w:rFonts w:ascii="宋体" w:hAnsi="宋体" w:cs="宋体"/>
          <w:sz w:val="24"/>
        </w:rPr>
      </w:pPr>
      <w:r>
        <w:rPr>
          <w:rFonts w:hint="eastAsia" w:ascii="宋体" w:hAnsi="宋体" w:cs="宋体"/>
          <w:sz w:val="24"/>
        </w:rPr>
        <w:t>24.3 小组成员和有关人员不得干预或者影响正常评审工作，不得明示或者暗示其倾向性或引导性意见，不得修改磋商文件确定的评审程序、方法和标准，不得征询采购人代表的倾向性意见，不得记录、复制或带走任何评审资料。</w:t>
      </w:r>
    </w:p>
    <w:p>
      <w:pPr>
        <w:spacing w:line="400" w:lineRule="exact"/>
        <w:ind w:firstLine="480" w:firstLineChars="200"/>
        <w:rPr>
          <w:rFonts w:ascii="宋体" w:hAnsi="宋体" w:cs="宋体"/>
          <w:sz w:val="24"/>
        </w:rPr>
      </w:pPr>
      <w:r>
        <w:rPr>
          <w:rFonts w:hint="eastAsia" w:ascii="宋体" w:hAnsi="宋体" w:cs="宋体"/>
          <w:sz w:val="24"/>
        </w:rPr>
        <w:t>24.4成交候选人确定后，磋商小组不得修改评审结果或要求重新评审。但因资格性审查认定错误或者价格计算错误需依法重新评审的除外。如有以上情况应在评审报告中明确记载。</w:t>
      </w:r>
    </w:p>
    <w:p>
      <w:pPr>
        <w:spacing w:line="400" w:lineRule="exact"/>
        <w:ind w:firstLine="480" w:firstLineChars="200"/>
        <w:rPr>
          <w:rFonts w:ascii="宋体" w:hAnsi="宋体" w:cs="宋体"/>
          <w:sz w:val="24"/>
        </w:rPr>
      </w:pPr>
      <w:r>
        <w:rPr>
          <w:rFonts w:hint="eastAsia" w:ascii="宋体" w:hAnsi="宋体" w:cs="宋体"/>
          <w:sz w:val="24"/>
        </w:rPr>
        <w:t>24.5磋商文件内容违反国家有关强制性规定的，磋商小组应当停止评审并向采购人或者采购代理机构说明情况。</w:t>
      </w:r>
    </w:p>
    <w:p>
      <w:pPr>
        <w:pStyle w:val="13"/>
        <w:spacing w:line="400" w:lineRule="exact"/>
        <w:rPr>
          <w:rFonts w:hAnsi="宋体" w:cs="宋体"/>
          <w:sz w:val="24"/>
          <w:szCs w:val="24"/>
        </w:rPr>
      </w:pPr>
      <w:r>
        <w:rPr>
          <w:rFonts w:hint="eastAsia" w:hAnsi="宋体" w:cs="宋体"/>
          <w:b/>
          <w:bCs/>
          <w:sz w:val="24"/>
          <w:szCs w:val="24"/>
        </w:rPr>
        <w:t>25、响应文件的澄清</w:t>
      </w:r>
    </w:p>
    <w:p>
      <w:pPr>
        <w:spacing w:line="400" w:lineRule="exact"/>
        <w:ind w:firstLine="480" w:firstLineChars="200"/>
        <w:rPr>
          <w:rFonts w:ascii="宋体" w:hAnsi="宋体" w:cs="宋体"/>
          <w:sz w:val="24"/>
        </w:rPr>
      </w:pPr>
      <w:r>
        <w:rPr>
          <w:rFonts w:hint="eastAsia" w:ascii="宋体" w:hAnsi="宋体" w:cs="宋体"/>
          <w:sz w:val="24"/>
        </w:rPr>
        <w:t>25.1磋商期间，磋商小组对响应文件的有效性、完整性和响应程度进行审查时，有权要求磋商供应商对其响应文件中含义不明确、同类问题表述不一致或者有明显文字和计算错误的内容等作出必要的澄清、说明或者更正。</w:t>
      </w:r>
    </w:p>
    <w:p>
      <w:pPr>
        <w:spacing w:line="400" w:lineRule="exact"/>
        <w:ind w:firstLine="480" w:firstLineChars="200"/>
        <w:rPr>
          <w:rFonts w:ascii="宋体" w:hAnsi="宋体" w:cs="宋体"/>
          <w:sz w:val="24"/>
        </w:rPr>
      </w:pPr>
      <w:r>
        <w:rPr>
          <w:rFonts w:hint="eastAsia" w:ascii="宋体" w:hAnsi="宋体" w:cs="宋体"/>
          <w:sz w:val="24"/>
        </w:rPr>
        <w:t>25.2磋商小组要求磋商供应商澄清、说明或者更正响应文件应当以书面形式作出。磋商供应商的澄清、说明或者更正应当由法定代表人或其授权代表签字或者加盖公章。</w:t>
      </w:r>
    </w:p>
    <w:p>
      <w:pPr>
        <w:spacing w:line="400" w:lineRule="exact"/>
        <w:ind w:firstLine="480" w:firstLineChars="200"/>
        <w:rPr>
          <w:rFonts w:ascii="宋体" w:hAnsi="宋体" w:cs="宋体"/>
          <w:sz w:val="24"/>
        </w:rPr>
      </w:pPr>
      <w:r>
        <w:rPr>
          <w:rFonts w:hint="eastAsia" w:ascii="宋体" w:hAnsi="宋体" w:cs="宋体"/>
          <w:sz w:val="24"/>
        </w:rPr>
        <w:t>25.3供应商的澄清、说明或者更正不得超出响应文件的范围或者改变响应文件的实质性内容。</w:t>
      </w:r>
    </w:p>
    <w:p>
      <w:pPr>
        <w:spacing w:line="400" w:lineRule="exact"/>
        <w:ind w:firstLine="480" w:firstLineChars="200"/>
        <w:rPr>
          <w:rFonts w:ascii="宋体" w:hAnsi="宋体" w:cs="宋体"/>
          <w:sz w:val="24"/>
        </w:rPr>
      </w:pPr>
      <w:r>
        <w:rPr>
          <w:rFonts w:hint="eastAsia" w:ascii="宋体" w:hAnsi="宋体" w:cs="宋体"/>
          <w:sz w:val="24"/>
        </w:rPr>
        <w:t>25.4未实质性响应磋商文件的响应文件按无效响应处理，磋商小组应当告知提交响应文件的供应商。</w:t>
      </w:r>
    </w:p>
    <w:p>
      <w:pPr>
        <w:spacing w:line="400" w:lineRule="exact"/>
        <w:rPr>
          <w:rFonts w:ascii="宋体" w:hAnsi="宋体" w:cs="宋体"/>
          <w:b/>
          <w:sz w:val="24"/>
        </w:rPr>
      </w:pPr>
      <w:r>
        <w:rPr>
          <w:rFonts w:hint="eastAsia" w:ascii="宋体" w:hAnsi="宋体" w:cs="宋体"/>
          <w:b/>
          <w:sz w:val="24"/>
        </w:rPr>
        <w:t>26、特别注意事项</w:t>
      </w:r>
    </w:p>
    <w:p>
      <w:pPr>
        <w:spacing w:line="400" w:lineRule="exact"/>
        <w:ind w:firstLine="480" w:firstLineChars="200"/>
        <w:rPr>
          <w:rFonts w:ascii="宋体" w:hAnsi="宋体" w:cs="宋体"/>
          <w:sz w:val="24"/>
        </w:rPr>
      </w:pPr>
      <w:r>
        <w:rPr>
          <w:rFonts w:hint="eastAsia" w:ascii="宋体" w:hAnsi="宋体" w:cs="宋体"/>
          <w:sz w:val="24"/>
        </w:rPr>
        <w:t>26.1 磋商供应商出现下列情况之一的，磋商小组可取消其磋商资格：</w:t>
      </w:r>
    </w:p>
    <w:p>
      <w:pPr>
        <w:spacing w:line="400" w:lineRule="exact"/>
        <w:ind w:firstLine="480" w:firstLineChars="200"/>
        <w:rPr>
          <w:rFonts w:ascii="宋体" w:hAnsi="宋体" w:cs="宋体"/>
          <w:sz w:val="24"/>
        </w:rPr>
      </w:pPr>
      <w:r>
        <w:rPr>
          <w:rFonts w:hint="eastAsia" w:ascii="宋体" w:hAnsi="宋体" w:cs="宋体"/>
          <w:sz w:val="24"/>
        </w:rPr>
        <w:t>（1）未按磋商文件或磋商小组规定时间派授权委托人参加磋商的；</w:t>
      </w:r>
    </w:p>
    <w:p>
      <w:pPr>
        <w:spacing w:line="400" w:lineRule="exact"/>
        <w:ind w:firstLine="480" w:firstLineChars="200"/>
        <w:rPr>
          <w:rFonts w:ascii="宋体" w:hAnsi="宋体" w:cs="宋体"/>
          <w:sz w:val="24"/>
        </w:rPr>
      </w:pPr>
      <w:r>
        <w:rPr>
          <w:rFonts w:hint="eastAsia" w:ascii="宋体" w:hAnsi="宋体" w:cs="宋体"/>
          <w:sz w:val="24"/>
        </w:rPr>
        <w:t>（2）未按磋商文件要求和规定提交有关材料的；</w:t>
      </w:r>
    </w:p>
    <w:p>
      <w:pPr>
        <w:spacing w:line="400" w:lineRule="exact"/>
        <w:ind w:firstLine="480" w:firstLineChars="200"/>
        <w:rPr>
          <w:rFonts w:ascii="宋体" w:hAnsi="宋体" w:cs="宋体"/>
          <w:sz w:val="24"/>
        </w:rPr>
      </w:pPr>
      <w:r>
        <w:rPr>
          <w:rFonts w:hint="eastAsia" w:ascii="宋体" w:hAnsi="宋体" w:cs="宋体"/>
          <w:sz w:val="24"/>
        </w:rPr>
        <w:t>（3）相互串通投标的（有下列情形之一的，视为磋商供应商相互串通投标）：</w:t>
      </w:r>
    </w:p>
    <w:p>
      <w:pPr>
        <w:spacing w:line="400" w:lineRule="exact"/>
        <w:ind w:firstLine="480" w:firstLineChars="200"/>
        <w:rPr>
          <w:rFonts w:ascii="宋体" w:hAnsi="宋体" w:cs="宋体"/>
          <w:sz w:val="24"/>
        </w:rPr>
      </w:pPr>
      <w:r>
        <w:rPr>
          <w:rFonts w:hint="eastAsia" w:ascii="宋体" w:hAnsi="宋体" w:cs="宋体"/>
          <w:sz w:val="24"/>
        </w:rPr>
        <w:t>A、不同磋商供应商的响应文件由同一单位或个人编制；</w:t>
      </w:r>
    </w:p>
    <w:p>
      <w:pPr>
        <w:spacing w:line="400" w:lineRule="exact"/>
        <w:ind w:firstLine="480" w:firstLineChars="200"/>
        <w:rPr>
          <w:rFonts w:ascii="宋体" w:hAnsi="宋体" w:cs="宋体"/>
          <w:sz w:val="24"/>
        </w:rPr>
      </w:pPr>
      <w:r>
        <w:rPr>
          <w:rFonts w:hint="eastAsia" w:ascii="宋体" w:hAnsi="宋体" w:cs="宋体"/>
          <w:sz w:val="24"/>
        </w:rPr>
        <w:t>B、不同磋商供应商委托同一单位或个人办理磋商事宜；</w:t>
      </w:r>
    </w:p>
    <w:p>
      <w:pPr>
        <w:spacing w:line="400" w:lineRule="exact"/>
        <w:ind w:firstLine="480" w:firstLineChars="200"/>
        <w:rPr>
          <w:rFonts w:ascii="宋体" w:hAnsi="宋体" w:cs="宋体"/>
          <w:sz w:val="24"/>
        </w:rPr>
      </w:pPr>
      <w:r>
        <w:rPr>
          <w:rFonts w:hint="eastAsia" w:ascii="宋体" w:hAnsi="宋体" w:cs="宋体"/>
          <w:sz w:val="24"/>
        </w:rPr>
        <w:t>C、不同磋商供应商的响应文件载明的项目管理成员为同一人的；</w:t>
      </w:r>
    </w:p>
    <w:p>
      <w:pPr>
        <w:spacing w:line="400" w:lineRule="exact"/>
        <w:ind w:firstLine="480" w:firstLineChars="200"/>
        <w:rPr>
          <w:rFonts w:ascii="宋体" w:hAnsi="宋体" w:cs="宋体"/>
          <w:sz w:val="24"/>
        </w:rPr>
      </w:pPr>
      <w:r>
        <w:rPr>
          <w:rFonts w:hint="eastAsia" w:ascii="宋体" w:hAnsi="宋体" w:cs="宋体"/>
          <w:sz w:val="24"/>
        </w:rPr>
        <w:t>D、不同磋商供应商的响应文件异常一致或者投标报价呈现规律性差异；</w:t>
      </w:r>
    </w:p>
    <w:p>
      <w:pPr>
        <w:spacing w:line="400" w:lineRule="exact"/>
        <w:ind w:firstLine="480" w:firstLineChars="200"/>
        <w:rPr>
          <w:rFonts w:ascii="宋体" w:hAnsi="宋体" w:cs="宋体"/>
          <w:sz w:val="24"/>
        </w:rPr>
      </w:pPr>
      <w:r>
        <w:rPr>
          <w:rFonts w:hint="eastAsia" w:ascii="宋体" w:hAnsi="宋体" w:cs="宋体"/>
          <w:sz w:val="24"/>
        </w:rPr>
        <w:t>E、不同磋商供应商的响应文件相互混装；</w:t>
      </w:r>
    </w:p>
    <w:p>
      <w:pPr>
        <w:spacing w:line="400" w:lineRule="exact"/>
        <w:ind w:firstLine="480" w:firstLineChars="200"/>
        <w:rPr>
          <w:rFonts w:ascii="宋体" w:hAnsi="宋体" w:cs="宋体"/>
          <w:sz w:val="24"/>
        </w:rPr>
      </w:pPr>
      <w:r>
        <w:rPr>
          <w:rFonts w:hint="eastAsia" w:ascii="宋体" w:hAnsi="宋体" w:cs="宋体"/>
          <w:sz w:val="24"/>
        </w:rPr>
        <w:t>F、不同磋商供应商的磋商保证金从同一单位的账户转出。</w:t>
      </w:r>
    </w:p>
    <w:p>
      <w:pPr>
        <w:spacing w:line="400" w:lineRule="exact"/>
        <w:ind w:firstLine="360" w:firstLineChars="150"/>
        <w:rPr>
          <w:rFonts w:ascii="宋体" w:hAnsi="宋体" w:cs="宋体"/>
          <w:sz w:val="24"/>
        </w:rPr>
      </w:pPr>
      <w:r>
        <w:rPr>
          <w:rFonts w:hint="eastAsia" w:ascii="宋体" w:hAnsi="宋体" w:cs="宋体"/>
          <w:sz w:val="24"/>
        </w:rPr>
        <w:t>（4）有违反政府采购法律、法规行为的。</w:t>
      </w:r>
    </w:p>
    <w:p>
      <w:pPr>
        <w:spacing w:line="400" w:lineRule="exact"/>
        <w:ind w:firstLine="480" w:firstLineChars="200"/>
        <w:rPr>
          <w:rFonts w:ascii="宋体" w:hAnsi="宋体" w:cs="宋体"/>
          <w:sz w:val="24"/>
        </w:rPr>
      </w:pPr>
      <w:r>
        <w:rPr>
          <w:rFonts w:hint="eastAsia" w:ascii="宋体" w:hAnsi="宋体" w:cs="宋体"/>
          <w:sz w:val="24"/>
        </w:rPr>
        <w:t>26.2磋商供应商出现下列情形之一的，将被视为非实质性响应磋商文件要求：</w:t>
      </w:r>
    </w:p>
    <w:p>
      <w:pPr>
        <w:spacing w:line="400" w:lineRule="exact"/>
        <w:ind w:firstLine="480" w:firstLineChars="200"/>
        <w:rPr>
          <w:rFonts w:ascii="宋体" w:hAnsi="宋体" w:cs="宋体"/>
          <w:sz w:val="24"/>
        </w:rPr>
      </w:pPr>
      <w:r>
        <w:rPr>
          <w:rFonts w:hint="eastAsia" w:ascii="宋体" w:hAnsi="宋体" w:cs="宋体"/>
          <w:sz w:val="24"/>
        </w:rPr>
        <w:t>（1）交货（完工或服务）期不确切或不符合磋商文件要求的；</w:t>
      </w:r>
    </w:p>
    <w:p>
      <w:pPr>
        <w:spacing w:line="400" w:lineRule="exact"/>
        <w:ind w:firstLine="480" w:firstLineChars="200"/>
        <w:rPr>
          <w:rFonts w:ascii="宋体" w:hAnsi="宋体" w:cs="宋体"/>
          <w:sz w:val="24"/>
        </w:rPr>
      </w:pPr>
      <w:r>
        <w:rPr>
          <w:rFonts w:hint="eastAsia" w:ascii="宋体" w:hAnsi="宋体" w:cs="宋体"/>
          <w:sz w:val="24"/>
        </w:rPr>
        <w:t>（2）最后报价有选择性的；</w:t>
      </w:r>
    </w:p>
    <w:p>
      <w:pPr>
        <w:spacing w:line="400" w:lineRule="exact"/>
        <w:ind w:firstLine="480" w:firstLineChars="200"/>
        <w:rPr>
          <w:rFonts w:ascii="宋体" w:hAnsi="宋体" w:cs="宋体"/>
          <w:sz w:val="24"/>
        </w:rPr>
      </w:pPr>
      <w:r>
        <w:rPr>
          <w:rFonts w:hint="eastAsia" w:ascii="宋体" w:hAnsi="宋体" w:cs="宋体"/>
          <w:sz w:val="24"/>
        </w:rPr>
        <w:t>（3）磋商供应商最后报价表中提供的货物或者服务种存在缺（漏）项的；</w:t>
      </w:r>
    </w:p>
    <w:p>
      <w:pPr>
        <w:spacing w:line="400" w:lineRule="exact"/>
        <w:ind w:firstLine="480" w:firstLineChars="200"/>
        <w:rPr>
          <w:rFonts w:ascii="宋体" w:hAnsi="宋体" w:cs="宋体"/>
          <w:sz w:val="24"/>
        </w:rPr>
      </w:pPr>
      <w:r>
        <w:rPr>
          <w:rFonts w:hint="eastAsia" w:ascii="宋体" w:hAnsi="宋体" w:cs="宋体"/>
          <w:sz w:val="24"/>
        </w:rPr>
        <w:t>（4）最后报价超过采购预算金额的；</w:t>
      </w:r>
    </w:p>
    <w:p>
      <w:pPr>
        <w:spacing w:line="400" w:lineRule="exact"/>
        <w:ind w:firstLine="480" w:firstLineChars="200"/>
        <w:rPr>
          <w:rFonts w:ascii="宋体" w:hAnsi="宋体" w:cs="宋体"/>
          <w:sz w:val="24"/>
        </w:rPr>
      </w:pPr>
      <w:r>
        <w:rPr>
          <w:rFonts w:hint="eastAsia" w:ascii="宋体" w:hAnsi="宋体" w:cs="宋体"/>
          <w:sz w:val="24"/>
        </w:rPr>
        <w:t>（5）被磋商小组认定存在重大负偏离的。</w:t>
      </w:r>
    </w:p>
    <w:p>
      <w:pPr>
        <w:spacing w:line="400" w:lineRule="exact"/>
        <w:ind w:firstLine="480" w:firstLineChars="200"/>
        <w:rPr>
          <w:rFonts w:ascii="宋体" w:hAnsi="宋体" w:cs="宋体"/>
          <w:sz w:val="24"/>
        </w:rPr>
      </w:pPr>
      <w:r>
        <w:rPr>
          <w:rFonts w:hint="eastAsia" w:ascii="宋体" w:hAnsi="宋体" w:cs="宋体"/>
          <w:sz w:val="24"/>
        </w:rPr>
        <w:t>所谓重大负偏离是指磋商供应商对磋商文件的响应在范围、质量、数量、交货（完工或服务）期限、技术规格要求、服务要求等方面明显不能满足采购需求的。重大负偏离的认定须经磋商小组三分之二以上成员同意。</w:t>
      </w:r>
    </w:p>
    <w:p>
      <w:pPr>
        <w:spacing w:line="400" w:lineRule="exact"/>
        <w:ind w:firstLine="480" w:firstLineChars="200"/>
        <w:rPr>
          <w:rFonts w:ascii="宋体" w:hAnsi="宋体" w:cs="宋体"/>
          <w:sz w:val="24"/>
        </w:rPr>
      </w:pPr>
      <w:r>
        <w:rPr>
          <w:rFonts w:hint="eastAsia" w:ascii="宋体" w:hAnsi="宋体" w:cs="宋体"/>
          <w:sz w:val="24"/>
        </w:rPr>
        <w:t>26.3磋商小组认为供应商的最终报价（含一个或同时多个）低于其他有效投标人的最终报价平均值50%或明显低于其他供应商的最终报价，有可能影响产品质量或者不能诚信履约的，应当要求其在磋商现场合理的时间内提供书面说明，必要时提交相关证明材料；供应商不能证明其报价合理性的，磋商小组应当将其作为无效响应处理。</w:t>
      </w:r>
    </w:p>
    <w:p>
      <w:pPr>
        <w:spacing w:line="400" w:lineRule="exact"/>
        <w:rPr>
          <w:rFonts w:ascii="宋体" w:hAnsi="宋体" w:cs="宋体"/>
          <w:sz w:val="24"/>
        </w:rPr>
      </w:pPr>
      <w:r>
        <w:rPr>
          <w:rFonts w:hint="eastAsia" w:ascii="宋体" w:hAnsi="宋体" w:cs="宋体"/>
          <w:b/>
          <w:sz w:val="24"/>
        </w:rPr>
        <w:t>27、确定成交候选供应商</w:t>
      </w:r>
    </w:p>
    <w:p>
      <w:pPr>
        <w:spacing w:line="400" w:lineRule="exact"/>
        <w:ind w:firstLine="480" w:firstLineChars="200"/>
        <w:rPr>
          <w:rFonts w:ascii="宋体" w:hAnsi="宋体" w:cs="宋体"/>
          <w:sz w:val="24"/>
        </w:rPr>
      </w:pPr>
      <w:r>
        <w:rPr>
          <w:rFonts w:hint="eastAsia" w:ascii="宋体" w:hAnsi="宋体" w:cs="宋体"/>
          <w:sz w:val="24"/>
        </w:rPr>
        <w:t>27.1坚持公平、公正地对待所有磋商供应商。</w:t>
      </w:r>
    </w:p>
    <w:p>
      <w:pPr>
        <w:spacing w:line="400" w:lineRule="exact"/>
        <w:ind w:firstLine="480" w:firstLineChars="200"/>
        <w:rPr>
          <w:rFonts w:ascii="宋体" w:hAnsi="宋体" w:cs="宋体"/>
          <w:sz w:val="24"/>
        </w:rPr>
      </w:pPr>
      <w:r>
        <w:rPr>
          <w:rFonts w:hint="eastAsia" w:ascii="宋体" w:hAnsi="宋体" w:cs="宋体"/>
          <w:sz w:val="24"/>
        </w:rPr>
        <w:t>27.2按照同一评审程序、方法和标准评审磋商供应商的响应文件。详见本竞争性磋商文件第五章“评审程序、方法及标准”。</w:t>
      </w:r>
    </w:p>
    <w:p>
      <w:pPr>
        <w:spacing w:line="400" w:lineRule="exact"/>
        <w:ind w:firstLine="480" w:firstLineChars="200"/>
        <w:rPr>
          <w:rFonts w:ascii="宋体" w:hAnsi="宋体" w:cs="宋体"/>
          <w:sz w:val="24"/>
        </w:rPr>
      </w:pPr>
      <w:r>
        <w:rPr>
          <w:rFonts w:hint="eastAsia" w:ascii="宋体" w:hAnsi="宋体" w:cs="宋体"/>
          <w:sz w:val="24"/>
        </w:rPr>
        <w:t>27.3磋商小组按照本磋商文件第五章中公布的评审程序、方法和标准进行评审，确定成交候选供应商。</w:t>
      </w:r>
    </w:p>
    <w:p>
      <w:pPr>
        <w:spacing w:line="400" w:lineRule="exact"/>
        <w:ind w:firstLine="480" w:firstLineChars="200"/>
        <w:rPr>
          <w:rFonts w:ascii="宋体" w:hAnsi="宋体" w:cs="宋体"/>
          <w:sz w:val="24"/>
        </w:rPr>
      </w:pPr>
      <w:r>
        <w:rPr>
          <w:rFonts w:hint="eastAsia" w:ascii="宋体" w:hAnsi="宋体" w:cs="宋体"/>
          <w:sz w:val="24"/>
        </w:rPr>
        <w:t>27.4磋商小组应当根据综合评分情况，按照评审得分由高到低的顺序推荐1-3成交候选供应商，并编写评审报告。</w:t>
      </w:r>
    </w:p>
    <w:p>
      <w:pPr>
        <w:spacing w:line="400" w:lineRule="exact"/>
        <w:rPr>
          <w:rFonts w:ascii="宋体" w:hAnsi="宋体" w:cs="宋体"/>
          <w:b/>
          <w:sz w:val="24"/>
        </w:rPr>
      </w:pPr>
      <w:r>
        <w:rPr>
          <w:rFonts w:hint="eastAsia" w:ascii="宋体" w:hAnsi="宋体" w:cs="宋体"/>
          <w:b/>
          <w:sz w:val="24"/>
        </w:rPr>
        <w:t>28、磋商过程保密</w:t>
      </w:r>
    </w:p>
    <w:p>
      <w:pPr>
        <w:spacing w:line="400" w:lineRule="exact"/>
        <w:ind w:firstLine="480" w:firstLineChars="200"/>
        <w:rPr>
          <w:rFonts w:ascii="宋体" w:hAnsi="宋体" w:cs="宋体"/>
          <w:sz w:val="24"/>
        </w:rPr>
      </w:pPr>
      <w:r>
        <w:rPr>
          <w:rFonts w:hint="eastAsia" w:ascii="宋体" w:hAnsi="宋体" w:cs="宋体"/>
          <w:sz w:val="24"/>
        </w:rPr>
        <w:t>28.1磋商是竞争性磋商的重要环节，磋商工作在磋商小组内独立进行。磋商小组将遵照第五章规定的评审原则，公平、公正地对待所有磋商供应商。</w:t>
      </w:r>
    </w:p>
    <w:p>
      <w:pPr>
        <w:spacing w:line="400" w:lineRule="exact"/>
        <w:ind w:firstLine="480" w:firstLineChars="200"/>
        <w:rPr>
          <w:rFonts w:ascii="宋体" w:hAnsi="宋体" w:cs="宋体"/>
          <w:sz w:val="24"/>
        </w:rPr>
      </w:pPr>
      <w:r>
        <w:rPr>
          <w:rFonts w:hint="eastAsia" w:ascii="宋体" w:hAnsi="宋体" w:cs="宋体"/>
          <w:sz w:val="24"/>
        </w:rPr>
        <w:t>在宣布成交结果前，凡属于审查、澄清、评价、比较响应文件等有关信息，相关当事人均不得泄露给任何磋商供应商或与磋商工作无关的人员。</w:t>
      </w:r>
    </w:p>
    <w:p>
      <w:pPr>
        <w:spacing w:line="400" w:lineRule="exact"/>
        <w:ind w:firstLine="480" w:firstLineChars="200"/>
        <w:rPr>
          <w:rFonts w:ascii="宋体" w:hAnsi="宋体" w:cs="宋体"/>
          <w:sz w:val="24"/>
        </w:rPr>
      </w:pPr>
      <w:r>
        <w:rPr>
          <w:rFonts w:hint="eastAsia" w:ascii="宋体" w:hAnsi="宋体" w:cs="宋体"/>
          <w:sz w:val="24"/>
        </w:rPr>
        <w:t>28.2磋商供应商不得向磋商小组成员询问磋商情况，不得以任何行为影响磋商过程，否则其响应文件将被作为无效响应文件。</w:t>
      </w:r>
    </w:p>
    <w:p>
      <w:pPr>
        <w:spacing w:line="400" w:lineRule="exact"/>
        <w:rPr>
          <w:rFonts w:ascii="宋体" w:hAnsi="宋体" w:cs="宋体"/>
          <w:sz w:val="24"/>
        </w:rPr>
      </w:pPr>
      <w:r>
        <w:rPr>
          <w:rFonts w:hint="eastAsia" w:ascii="宋体" w:hAnsi="宋体" w:cs="宋体"/>
          <w:b/>
          <w:sz w:val="24"/>
        </w:rPr>
        <w:t>29、采购人、采购代理机构和磋商小组不向未成交的磋商供应商解释未成交原因，也不对磋商过程中的细节问题进行公布。</w:t>
      </w:r>
    </w:p>
    <w:p>
      <w:pPr>
        <w:spacing w:line="400" w:lineRule="exact"/>
        <w:rPr>
          <w:rFonts w:ascii="宋体" w:hAnsi="宋体" w:cs="宋体"/>
          <w:sz w:val="24"/>
        </w:rPr>
      </w:pPr>
      <w:r>
        <w:rPr>
          <w:rFonts w:hint="eastAsia" w:ascii="宋体" w:hAnsi="宋体" w:cs="宋体"/>
          <w:b/>
          <w:sz w:val="24"/>
        </w:rPr>
        <w:t>六、确定成交供应商及签约</w:t>
      </w:r>
    </w:p>
    <w:p>
      <w:pPr>
        <w:spacing w:line="400" w:lineRule="exact"/>
        <w:rPr>
          <w:rFonts w:ascii="宋体" w:hAnsi="宋体" w:cs="宋体"/>
          <w:b/>
          <w:sz w:val="24"/>
        </w:rPr>
      </w:pPr>
      <w:r>
        <w:rPr>
          <w:rFonts w:hint="eastAsia" w:ascii="宋体" w:hAnsi="宋体" w:cs="宋体"/>
          <w:b/>
          <w:sz w:val="24"/>
        </w:rPr>
        <w:t>30、磋商小组将严格按照磋商文件的要求进行比较，根据磋商文件中公布的评定成交标准推荐出成交候选供应商。</w:t>
      </w:r>
    </w:p>
    <w:p>
      <w:pPr>
        <w:spacing w:line="400" w:lineRule="exact"/>
        <w:ind w:firstLine="470" w:firstLineChars="196"/>
        <w:rPr>
          <w:rFonts w:ascii="宋体" w:hAnsi="宋体" w:cs="宋体"/>
          <w:sz w:val="24"/>
        </w:rPr>
      </w:pPr>
      <w:r>
        <w:rPr>
          <w:rFonts w:hint="eastAsia" w:ascii="宋体" w:hAnsi="宋体" w:cs="宋体"/>
          <w:sz w:val="24"/>
        </w:rPr>
        <w:t>采购人应当在收到评审报告后5个工作日内，从评审报告提出的成交候选供应商中，按照排序由高到低的原则确定成交供应商。采购人逾期未确定成交供应商且不提出异议的，视为确定评审报告提出的排序第一的成交候选供应商为成交供应商。</w:t>
      </w:r>
    </w:p>
    <w:p>
      <w:pPr>
        <w:pStyle w:val="13"/>
        <w:spacing w:line="400" w:lineRule="exact"/>
        <w:rPr>
          <w:rFonts w:hAnsi="宋体" w:cs="宋体"/>
          <w:sz w:val="24"/>
          <w:szCs w:val="24"/>
        </w:rPr>
      </w:pPr>
      <w:r>
        <w:rPr>
          <w:rFonts w:hint="eastAsia" w:hAnsi="宋体" w:cs="宋体"/>
          <w:sz w:val="24"/>
          <w:szCs w:val="24"/>
        </w:rPr>
        <w:t xml:space="preserve">   采购代理机构应当在成交供应商确定后2个工作日内，在芜湖公共资源交易中心网站公告成交结果，同时向成交供应商发出中标通知书。</w:t>
      </w:r>
    </w:p>
    <w:p>
      <w:pPr>
        <w:pStyle w:val="13"/>
        <w:spacing w:line="400" w:lineRule="exact"/>
        <w:rPr>
          <w:rFonts w:hAnsi="宋体" w:cs="宋体"/>
          <w:b/>
          <w:sz w:val="24"/>
          <w:szCs w:val="24"/>
        </w:rPr>
      </w:pPr>
      <w:r>
        <w:rPr>
          <w:rFonts w:hint="eastAsia" w:hAnsi="宋体" w:cs="宋体"/>
          <w:b/>
          <w:sz w:val="24"/>
          <w:szCs w:val="24"/>
        </w:rPr>
        <w:t>31、成交通知</w:t>
      </w:r>
    </w:p>
    <w:p>
      <w:pPr>
        <w:pStyle w:val="13"/>
        <w:spacing w:line="400" w:lineRule="exact"/>
        <w:ind w:firstLine="480" w:firstLineChars="200"/>
        <w:rPr>
          <w:rFonts w:hAnsi="宋体" w:cs="宋体"/>
          <w:bCs/>
          <w:sz w:val="24"/>
          <w:szCs w:val="24"/>
        </w:rPr>
      </w:pPr>
      <w:r>
        <w:rPr>
          <w:rFonts w:hint="eastAsia" w:hAnsi="宋体" w:cs="宋体"/>
          <w:bCs/>
          <w:sz w:val="24"/>
          <w:szCs w:val="24"/>
        </w:rPr>
        <w:t>31.1确定成交供应商后，采购代理机构向成交供应商发出《中标通知书》。</w:t>
      </w:r>
    </w:p>
    <w:p>
      <w:pPr>
        <w:pStyle w:val="13"/>
        <w:spacing w:line="400" w:lineRule="exact"/>
        <w:ind w:firstLine="480" w:firstLineChars="200"/>
        <w:rPr>
          <w:rFonts w:hAnsi="宋体" w:cs="宋体"/>
          <w:bCs/>
          <w:sz w:val="24"/>
          <w:szCs w:val="24"/>
        </w:rPr>
      </w:pPr>
      <w:r>
        <w:rPr>
          <w:rFonts w:hint="eastAsia" w:hAnsi="宋体" w:cs="宋体"/>
          <w:bCs/>
          <w:sz w:val="24"/>
          <w:szCs w:val="24"/>
        </w:rPr>
        <w:t>31.2中标通知书对采购人和成交供应商均有法律效力。中标通知书发出后，采购人改变成交结果的，或者成交供应商无故拒绝签订合同、放弃成交项目的，应当依法承担法律责任。</w:t>
      </w:r>
    </w:p>
    <w:p>
      <w:pPr>
        <w:pStyle w:val="13"/>
        <w:spacing w:line="400" w:lineRule="exact"/>
        <w:rPr>
          <w:rFonts w:hAnsi="宋体" w:cs="宋体"/>
          <w:b/>
          <w:bCs/>
          <w:sz w:val="24"/>
          <w:szCs w:val="24"/>
        </w:rPr>
      </w:pPr>
      <w:r>
        <w:rPr>
          <w:rFonts w:hint="eastAsia" w:hAnsi="宋体" w:cs="宋体"/>
          <w:b/>
          <w:bCs/>
          <w:sz w:val="24"/>
          <w:szCs w:val="24"/>
        </w:rPr>
        <w:t>32、签订合同</w:t>
      </w:r>
    </w:p>
    <w:p>
      <w:pPr>
        <w:pStyle w:val="13"/>
        <w:spacing w:line="400" w:lineRule="exact"/>
        <w:ind w:firstLine="480" w:firstLineChars="200"/>
        <w:rPr>
          <w:rFonts w:hAnsi="宋体" w:cs="宋体"/>
          <w:bCs/>
          <w:sz w:val="24"/>
          <w:szCs w:val="24"/>
        </w:rPr>
      </w:pPr>
      <w:r>
        <w:rPr>
          <w:rFonts w:hint="eastAsia" w:hAnsi="宋体" w:cs="宋体"/>
          <w:bCs/>
          <w:sz w:val="24"/>
          <w:szCs w:val="24"/>
        </w:rPr>
        <w:t>32.1成交供应商按《中标通知书》规定的时间、地点和采购人签订政府采购合同。</w:t>
      </w:r>
    </w:p>
    <w:p>
      <w:pPr>
        <w:pStyle w:val="13"/>
        <w:spacing w:line="400" w:lineRule="exact"/>
        <w:ind w:firstLine="480" w:firstLineChars="200"/>
        <w:rPr>
          <w:rFonts w:hAnsi="宋体" w:cs="宋体"/>
          <w:bCs/>
          <w:sz w:val="24"/>
          <w:szCs w:val="24"/>
        </w:rPr>
      </w:pPr>
      <w:r>
        <w:rPr>
          <w:rFonts w:hint="eastAsia" w:hAnsi="宋体" w:cs="宋体"/>
          <w:bCs/>
          <w:sz w:val="24"/>
          <w:szCs w:val="24"/>
        </w:rPr>
        <w:t>32.2中标通知书、竞争性磋商文件、成交供应商的响应文件及磋商过程中有关澄清文件均为合同的组成部分。</w:t>
      </w:r>
    </w:p>
    <w:p>
      <w:pPr>
        <w:pStyle w:val="13"/>
        <w:spacing w:line="400" w:lineRule="exact"/>
        <w:ind w:firstLine="480" w:firstLineChars="200"/>
        <w:rPr>
          <w:rFonts w:hAnsi="宋体" w:cs="宋体"/>
          <w:bCs/>
          <w:sz w:val="24"/>
          <w:szCs w:val="24"/>
        </w:rPr>
      </w:pPr>
      <w:r>
        <w:rPr>
          <w:rFonts w:hint="eastAsia" w:hAnsi="宋体" w:cs="宋体"/>
          <w:bCs/>
          <w:sz w:val="24"/>
          <w:szCs w:val="24"/>
        </w:rPr>
        <w:t>32.3签订合同后，成交供应商不得将采购项目进行转包。未经采购人同意，成交供应商不得采取分包的形式履行合同，否则采购人有权终止合同。因转包或分包造成采购人损失的，成交供应商还应承担相应赔偿责任。</w:t>
      </w:r>
    </w:p>
    <w:p>
      <w:pPr>
        <w:pStyle w:val="13"/>
        <w:spacing w:line="400" w:lineRule="exact"/>
        <w:ind w:firstLine="480" w:firstLineChars="200"/>
        <w:rPr>
          <w:rFonts w:hAnsi="宋体" w:cs="宋体"/>
          <w:bCs/>
          <w:sz w:val="24"/>
          <w:szCs w:val="24"/>
        </w:rPr>
      </w:pPr>
      <w:r>
        <w:rPr>
          <w:rFonts w:hint="eastAsia" w:hAnsi="宋体" w:cs="宋体"/>
          <w:bCs/>
          <w:sz w:val="24"/>
          <w:szCs w:val="24"/>
        </w:rPr>
        <w:t>32.4政府采购合同适用合同法。采购人和成交供应商之间在合同中约定的权利和义务，双方均应诚实守信全面履行，否则违约方将承担违约责任并赔偿对方损失。</w:t>
      </w:r>
    </w:p>
    <w:p>
      <w:pPr>
        <w:pStyle w:val="13"/>
        <w:spacing w:line="400" w:lineRule="exact"/>
        <w:rPr>
          <w:rFonts w:hAnsi="宋体" w:cs="宋体"/>
          <w:b/>
          <w:bCs/>
          <w:sz w:val="24"/>
          <w:szCs w:val="24"/>
        </w:rPr>
      </w:pPr>
      <w:r>
        <w:rPr>
          <w:rFonts w:hint="eastAsia" w:hAnsi="宋体" w:cs="宋体"/>
          <w:b/>
          <w:bCs/>
          <w:sz w:val="24"/>
          <w:szCs w:val="24"/>
        </w:rPr>
        <w:t>33、质疑</w:t>
      </w:r>
    </w:p>
    <w:p>
      <w:pPr>
        <w:pStyle w:val="13"/>
        <w:spacing w:line="400" w:lineRule="exact"/>
        <w:ind w:firstLine="480" w:firstLineChars="200"/>
        <w:rPr>
          <w:rFonts w:hAnsi="宋体" w:cs="宋体"/>
          <w:bCs/>
          <w:sz w:val="24"/>
          <w:szCs w:val="24"/>
        </w:rPr>
      </w:pPr>
      <w:r>
        <w:rPr>
          <w:rFonts w:hint="eastAsia" w:hAnsi="宋体" w:cs="宋体"/>
          <w:bCs/>
          <w:sz w:val="24"/>
          <w:szCs w:val="24"/>
        </w:rPr>
        <w:t>供应商对采购事项有疑问的，可以按照《政府采购法》的规定，向采购人或者采购代理机构提出质疑。</w:t>
      </w:r>
    </w:p>
    <w:p>
      <w:pPr>
        <w:pStyle w:val="13"/>
        <w:spacing w:line="400" w:lineRule="exact"/>
        <w:rPr>
          <w:rFonts w:hAnsi="宋体" w:cs="宋体"/>
          <w:b/>
          <w:bCs/>
          <w:sz w:val="24"/>
          <w:szCs w:val="24"/>
        </w:rPr>
      </w:pPr>
      <w:r>
        <w:rPr>
          <w:rFonts w:hint="eastAsia" w:hAnsi="宋体" w:cs="宋体"/>
          <w:b/>
          <w:bCs/>
          <w:sz w:val="24"/>
          <w:szCs w:val="24"/>
        </w:rPr>
        <w:t>34、质疑的程序和处理</w:t>
      </w:r>
    </w:p>
    <w:p>
      <w:pPr>
        <w:pStyle w:val="13"/>
        <w:spacing w:line="400" w:lineRule="exact"/>
        <w:ind w:firstLine="480" w:firstLineChars="200"/>
        <w:rPr>
          <w:rFonts w:hAnsi="宋体" w:cs="宋体"/>
          <w:bCs/>
          <w:sz w:val="24"/>
          <w:szCs w:val="24"/>
        </w:rPr>
      </w:pPr>
      <w:r>
        <w:rPr>
          <w:rFonts w:hint="eastAsia" w:hAnsi="宋体" w:cs="宋体"/>
          <w:bCs/>
          <w:sz w:val="24"/>
          <w:szCs w:val="24"/>
        </w:rPr>
        <w:t>按照《政府采购法》有关规定。</w:t>
      </w:r>
    </w:p>
    <w:p>
      <w:pPr>
        <w:pStyle w:val="13"/>
        <w:spacing w:line="400" w:lineRule="exact"/>
        <w:outlineLvl w:val="1"/>
        <w:rPr>
          <w:rFonts w:hAnsi="宋体" w:cs="宋体"/>
          <w:bCs/>
          <w:sz w:val="24"/>
          <w:szCs w:val="24"/>
        </w:rPr>
      </w:pPr>
      <w:r>
        <w:rPr>
          <w:rFonts w:hint="eastAsia" w:hAnsi="宋体" w:cs="宋体"/>
          <w:b/>
          <w:sz w:val="24"/>
          <w:szCs w:val="24"/>
        </w:rPr>
        <w:t>七、其他</w:t>
      </w:r>
    </w:p>
    <w:p>
      <w:pPr>
        <w:pStyle w:val="13"/>
        <w:spacing w:line="400" w:lineRule="exact"/>
        <w:rPr>
          <w:rFonts w:hAnsi="宋体" w:cs="宋体"/>
          <w:b/>
          <w:bCs/>
          <w:sz w:val="24"/>
          <w:szCs w:val="24"/>
        </w:rPr>
      </w:pPr>
      <w:r>
        <w:rPr>
          <w:rFonts w:hint="eastAsia" w:hAnsi="宋体" w:cs="宋体"/>
          <w:b/>
          <w:bCs/>
          <w:sz w:val="24"/>
          <w:szCs w:val="24"/>
        </w:rPr>
        <w:t>35、代理服务费及专家评审费</w:t>
      </w:r>
    </w:p>
    <w:p>
      <w:pPr>
        <w:pStyle w:val="13"/>
        <w:spacing w:line="400" w:lineRule="exact"/>
        <w:ind w:firstLine="480" w:firstLineChars="200"/>
        <w:rPr>
          <w:rFonts w:hAnsi="宋体" w:cs="宋体"/>
          <w:bCs/>
          <w:sz w:val="24"/>
          <w:szCs w:val="24"/>
        </w:rPr>
      </w:pPr>
      <w:r>
        <w:rPr>
          <w:rFonts w:hint="eastAsia" w:hAnsi="宋体" w:cs="宋体"/>
          <w:bCs/>
          <w:sz w:val="24"/>
          <w:szCs w:val="24"/>
        </w:rPr>
        <w:t>35.1、本项目代理服务费由成交供应商支付，按《关于招标采购代理服务费有关事项的通知》（公管【2016】139号文）执行，供应商报价时综合考虑此费用（不单独列项），须在领取中标通知书前一次性付清。</w:t>
      </w:r>
    </w:p>
    <w:p>
      <w:pPr>
        <w:pStyle w:val="13"/>
        <w:spacing w:line="400" w:lineRule="exact"/>
        <w:ind w:firstLine="480" w:firstLineChars="200"/>
        <w:rPr>
          <w:rFonts w:hAnsi="宋体" w:cs="宋体"/>
          <w:bCs/>
          <w:sz w:val="24"/>
          <w:szCs w:val="24"/>
        </w:rPr>
      </w:pPr>
      <w:r>
        <w:rPr>
          <w:rFonts w:hint="eastAsia" w:hAnsi="宋体" w:cs="宋体"/>
          <w:bCs/>
          <w:sz w:val="24"/>
          <w:szCs w:val="24"/>
        </w:rPr>
        <w:t>35.2、成交供应商在领取中标通知书时须向第三方采购代理机构缴纳该项目的专家评审费（评审费大约1500元，具体以采购代理机构提供专家费用领取单为准），请在报价时考虑以上费用（不单独列项）。</w:t>
      </w:r>
    </w:p>
    <w:p>
      <w:pPr>
        <w:pStyle w:val="13"/>
        <w:spacing w:line="400" w:lineRule="exact"/>
        <w:rPr>
          <w:rFonts w:hAnsi="宋体" w:cs="宋体"/>
          <w:b/>
          <w:sz w:val="24"/>
          <w:szCs w:val="24"/>
        </w:rPr>
      </w:pPr>
      <w:r>
        <w:rPr>
          <w:rFonts w:hint="eastAsia" w:hAnsi="宋体" w:cs="宋体"/>
          <w:b/>
          <w:sz w:val="24"/>
          <w:szCs w:val="24"/>
        </w:rPr>
        <w:t>36、知识产权</w:t>
      </w:r>
    </w:p>
    <w:p>
      <w:pPr>
        <w:pStyle w:val="13"/>
        <w:spacing w:line="400" w:lineRule="exact"/>
        <w:ind w:firstLine="480" w:firstLineChars="200"/>
        <w:rPr>
          <w:rFonts w:hAnsi="宋体" w:cs="宋体"/>
          <w:bCs/>
          <w:sz w:val="24"/>
          <w:szCs w:val="24"/>
        </w:rPr>
      </w:pPr>
      <w:r>
        <w:rPr>
          <w:rFonts w:hint="eastAsia" w:hAnsi="宋体" w:cs="宋体"/>
          <w:bCs/>
          <w:sz w:val="24"/>
          <w:szCs w:val="24"/>
        </w:rPr>
        <w:t>36.1构成本采购文件各个组成部分的文件，未经采购人书面同意，供应商不得擅自复印和用于非本采购项目所需的其他目的。如因此导致采购人损失的，供应商须承担全部赔偿责任。</w:t>
      </w:r>
    </w:p>
    <w:p>
      <w:pPr>
        <w:pStyle w:val="13"/>
        <w:spacing w:line="400" w:lineRule="exact"/>
        <w:ind w:firstLine="480" w:firstLineChars="200"/>
        <w:rPr>
          <w:rFonts w:hAnsi="宋体" w:cs="宋体"/>
          <w:bCs/>
          <w:sz w:val="24"/>
          <w:szCs w:val="24"/>
        </w:rPr>
      </w:pPr>
      <w:r>
        <w:rPr>
          <w:rFonts w:hint="eastAsia" w:hAnsi="宋体" w:cs="宋体"/>
          <w:bCs/>
          <w:sz w:val="24"/>
          <w:szCs w:val="24"/>
        </w:rPr>
        <w:t>36.2采购人在中华人民共和国境内使用中标货物（服务）、资料、技术、服务或其任何一部分时，履行合同义务后，享有不受限制的无偿使用权，不会产生因第三方提出侵犯其专利权、商标权或其它知识产权而引起的法律或经济纠纷。如供应商不拥有相应的知识产权，则在响应报价中必须包括合法获取该知识产权的一切相关费用。如因此导致采购人损失的，供应商须承担全部赔偿责任。</w:t>
      </w:r>
    </w:p>
    <w:p>
      <w:pPr>
        <w:pStyle w:val="13"/>
        <w:spacing w:line="400" w:lineRule="exact"/>
        <w:rPr>
          <w:rFonts w:hAnsi="宋体" w:cs="宋体"/>
          <w:b/>
          <w:sz w:val="24"/>
          <w:szCs w:val="24"/>
        </w:rPr>
      </w:pPr>
      <w:r>
        <w:rPr>
          <w:rFonts w:hint="eastAsia" w:hAnsi="宋体" w:cs="宋体"/>
          <w:b/>
          <w:sz w:val="24"/>
          <w:szCs w:val="24"/>
        </w:rPr>
        <w:t>37、解释权</w:t>
      </w:r>
    </w:p>
    <w:p>
      <w:pPr>
        <w:pStyle w:val="13"/>
        <w:spacing w:line="400" w:lineRule="exact"/>
        <w:ind w:firstLine="480" w:firstLineChars="200"/>
        <w:rPr>
          <w:rFonts w:hAnsi="宋体" w:cs="宋体"/>
          <w:bCs/>
          <w:sz w:val="24"/>
          <w:szCs w:val="24"/>
        </w:rPr>
      </w:pPr>
      <w:r>
        <w:rPr>
          <w:rFonts w:hint="eastAsia" w:hAnsi="宋体" w:cs="宋体"/>
          <w:bCs/>
          <w:sz w:val="24"/>
          <w:szCs w:val="24"/>
        </w:rPr>
        <w:t>本采购文件最终解释权归采购人和采购代理机构所有。</w:t>
      </w:r>
    </w:p>
    <w:p>
      <w:pPr>
        <w:pStyle w:val="13"/>
        <w:ind w:firstLine="562" w:firstLineChars="200"/>
        <w:jc w:val="left"/>
        <w:rPr>
          <w:rFonts w:hAnsi="宋体"/>
          <w:b/>
          <w:bCs/>
          <w:sz w:val="32"/>
          <w:szCs w:val="32"/>
        </w:rPr>
      </w:pPr>
      <w:r>
        <w:rPr>
          <w:rFonts w:hAnsi="宋体"/>
          <w:b/>
          <w:bCs/>
          <w:sz w:val="28"/>
          <w:szCs w:val="28"/>
        </w:rPr>
        <w:br w:type="page"/>
      </w:r>
      <w:r>
        <w:rPr>
          <w:rFonts w:hAnsi="宋体"/>
          <w:b/>
          <w:bCs/>
          <w:sz w:val="32"/>
          <w:szCs w:val="32"/>
        </w:rPr>
        <w:t>第三章</w:t>
      </w:r>
      <w:r>
        <w:rPr>
          <w:rFonts w:hint="eastAsia" w:hAnsi="宋体"/>
          <w:b/>
          <w:bCs/>
          <w:sz w:val="32"/>
          <w:szCs w:val="32"/>
        </w:rPr>
        <w:t xml:space="preserve">  政府采购合同</w:t>
      </w:r>
    </w:p>
    <w:p>
      <w:pPr>
        <w:pStyle w:val="13"/>
        <w:ind w:firstLine="560" w:firstLineChars="200"/>
        <w:jc w:val="center"/>
        <w:rPr>
          <w:rFonts w:hAnsi="宋体"/>
          <w:bCs/>
          <w:sz w:val="28"/>
          <w:szCs w:val="28"/>
        </w:rPr>
      </w:pPr>
      <w:r>
        <w:rPr>
          <w:rFonts w:hint="eastAsia" w:hAnsi="宋体"/>
          <w:bCs/>
          <w:sz w:val="28"/>
          <w:szCs w:val="28"/>
        </w:rPr>
        <w:t>由成交供应商与采购人（业主）具体商签。</w:t>
      </w:r>
    </w:p>
    <w:p>
      <w:pPr>
        <w:pStyle w:val="6"/>
        <w:jc w:val="center"/>
        <w:rPr>
          <w:rFonts w:ascii="宋体" w:hAnsi="宋体" w:eastAsia="宋体"/>
        </w:rPr>
      </w:pPr>
      <w:r>
        <w:rPr>
          <w:rFonts w:hint="eastAsia" w:ascii="宋体" w:hAnsi="宋体" w:eastAsia="宋体"/>
        </w:rPr>
        <w:t>（四）合同条款前附表</w:t>
      </w:r>
    </w:p>
    <w:tbl>
      <w:tblPr>
        <w:tblStyle w:val="23"/>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04"/>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r>
              <w:rPr>
                <w:rFonts w:hint="eastAsia" w:ascii="宋体" w:hAnsi="宋体"/>
                <w:sz w:val="28"/>
                <w:szCs w:val="28"/>
                <w:highlight w:val="white"/>
              </w:rPr>
              <w:t>序号</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highlight w:val="white"/>
              </w:rPr>
              <w:t>条款号</w:t>
            </w:r>
          </w:p>
        </w:tc>
        <w:tc>
          <w:tcPr>
            <w:tcW w:w="7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highlight w:val="whit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r>
              <w:rPr>
                <w:rFonts w:hint="eastAsia" w:ascii="宋体" w:hAnsi="宋体" w:cs="宋体"/>
                <w:sz w:val="24"/>
                <w:highlight w:val="white"/>
              </w:rPr>
              <w:t>1</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r>
              <w:rPr>
                <w:rFonts w:hint="eastAsia" w:ascii="宋体" w:hAnsi="宋体" w:cs="宋体"/>
                <w:sz w:val="24"/>
                <w:highlight w:val="white"/>
              </w:rPr>
              <w:t>7.1</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white"/>
              </w:rPr>
            </w:pPr>
            <w:r>
              <w:rPr>
                <w:rFonts w:hint="eastAsia" w:ascii="宋体" w:hAnsi="宋体" w:cs="宋体"/>
                <w:sz w:val="24"/>
                <w:highlight w:val="white"/>
              </w:rPr>
              <w:t>履约地点为：芜湖市文化和旅游局 指定地点。</w:t>
            </w:r>
          </w:p>
          <w:p>
            <w:pPr>
              <w:spacing w:line="360" w:lineRule="auto"/>
              <w:rPr>
                <w:rFonts w:ascii="宋体" w:hAnsi="宋体" w:cs="宋体"/>
                <w:sz w:val="24"/>
                <w:highlight w:val="white"/>
              </w:rPr>
            </w:pPr>
            <w:r>
              <w:rPr>
                <w:rFonts w:hint="eastAsia" w:ascii="宋体" w:hAnsi="宋体" w:cs="宋体"/>
                <w:sz w:val="24"/>
                <w:highlight w:val="white"/>
              </w:rPr>
              <w:t>（注：由招标单位指定本项目实施、建设现场）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r>
              <w:rPr>
                <w:rFonts w:hint="eastAsia" w:ascii="宋体" w:hAnsi="宋体" w:cs="宋体"/>
                <w:sz w:val="24"/>
                <w:highlight w:val="white"/>
              </w:rPr>
              <w:t>2</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r>
              <w:rPr>
                <w:rFonts w:hint="eastAsia" w:ascii="宋体" w:hAnsi="宋体" w:cs="宋体"/>
                <w:sz w:val="24"/>
                <w:highlight w:val="white"/>
              </w:rPr>
              <w:t>8</w:t>
            </w:r>
          </w:p>
        </w:tc>
        <w:tc>
          <w:tcPr>
            <w:tcW w:w="72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付款应按下列条件进行：合同中约定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r>
              <w:rPr>
                <w:rFonts w:hint="eastAsia" w:ascii="宋体" w:hAnsi="宋体" w:cs="宋体"/>
                <w:sz w:val="24"/>
                <w:highlight w:val="white"/>
              </w:rPr>
              <w:t>3</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r>
              <w:rPr>
                <w:rFonts w:hint="eastAsia" w:ascii="宋体" w:hAnsi="宋体" w:cs="宋体"/>
                <w:sz w:val="24"/>
                <w:highlight w:val="white"/>
              </w:rPr>
              <w:t>12</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索赔方式:</w:t>
            </w:r>
            <w:r>
              <w:rPr>
                <w:rFonts w:hint="eastAsia" w:ascii="宋体" w:hAnsi="宋体" w:cs="宋体"/>
                <w:bCs/>
                <w:sz w:val="24"/>
              </w:rPr>
              <w:t>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r>
              <w:rPr>
                <w:rFonts w:hint="eastAsia" w:ascii="宋体" w:hAnsi="宋体" w:cs="宋体"/>
                <w:sz w:val="24"/>
                <w:highlight w:val="white"/>
              </w:rPr>
              <w:t>4</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rPr>
            </w:pP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本合同买方为：芜湖市文化和旅游局</w:t>
            </w:r>
          </w:p>
          <w:p>
            <w:pPr>
              <w:spacing w:line="360" w:lineRule="auto"/>
              <w:rPr>
                <w:rFonts w:ascii="宋体" w:hAnsi="宋体" w:cs="宋体"/>
                <w:sz w:val="24"/>
              </w:rPr>
            </w:pPr>
            <w:r>
              <w:rPr>
                <w:rFonts w:hint="eastAsia" w:ascii="宋体" w:hAnsi="宋体" w:cs="宋体"/>
                <w:sz w:val="24"/>
              </w:rPr>
              <w:t>服务期：60日历天</w:t>
            </w:r>
          </w:p>
          <w:p>
            <w:pPr>
              <w:spacing w:line="360" w:lineRule="auto"/>
              <w:rPr>
                <w:rFonts w:ascii="宋体" w:hAnsi="宋体" w:cs="宋体"/>
                <w:sz w:val="24"/>
              </w:rPr>
            </w:pPr>
            <w:r>
              <w:rPr>
                <w:rFonts w:hint="eastAsia" w:ascii="宋体" w:hAnsi="宋体" w:cs="宋体"/>
                <w:sz w:val="24"/>
              </w:rPr>
              <w:t>服务地点：芜湖市文化和旅游局 指定地点。</w:t>
            </w:r>
          </w:p>
          <w:p>
            <w:pPr>
              <w:spacing w:line="360" w:lineRule="auto"/>
              <w:rPr>
                <w:rFonts w:ascii="宋体" w:hAnsi="宋体" w:cs="宋体"/>
                <w:sz w:val="24"/>
              </w:rPr>
            </w:pPr>
            <w:r>
              <w:rPr>
                <w:rFonts w:hint="eastAsia" w:ascii="宋体" w:hAnsi="宋体" w:cs="宋体"/>
                <w:sz w:val="24"/>
              </w:rPr>
              <w:t>招标代理机构：安徽奇士建设工程咨询有限公司</w:t>
            </w:r>
          </w:p>
        </w:tc>
      </w:tr>
    </w:tbl>
    <w:p/>
    <w:p>
      <w:pPr>
        <w:pStyle w:val="13"/>
        <w:ind w:firstLine="560" w:firstLineChars="200"/>
        <w:jc w:val="center"/>
        <w:rPr>
          <w:rFonts w:hAnsi="宋体"/>
          <w:bCs/>
          <w:sz w:val="28"/>
          <w:szCs w:val="28"/>
        </w:rPr>
      </w:pPr>
    </w:p>
    <w:p>
      <w:pPr>
        <w:pStyle w:val="6"/>
        <w:jc w:val="center"/>
        <w:rPr>
          <w:highlight w:val="white"/>
        </w:rPr>
      </w:pPr>
      <w:r>
        <w:rPr>
          <w:rFonts w:hAnsi="宋体"/>
          <w:sz w:val="24"/>
          <w:szCs w:val="24"/>
        </w:rPr>
        <w:br w:type="page"/>
      </w:r>
      <w:r>
        <w:rPr>
          <w:rFonts w:hint="eastAsia"/>
          <w:highlight w:val="white"/>
        </w:rPr>
        <w:t>第四章采购需求清单及技术规格</w:t>
      </w:r>
    </w:p>
    <w:p>
      <w:pPr>
        <w:pStyle w:val="13"/>
        <w:spacing w:line="400" w:lineRule="exact"/>
        <w:ind w:firstLine="480" w:firstLineChars="200"/>
        <w:rPr>
          <w:rFonts w:hAnsi="宋体" w:cs="宋体"/>
          <w:bCs/>
          <w:sz w:val="24"/>
          <w:szCs w:val="24"/>
        </w:rPr>
      </w:pPr>
      <w:r>
        <w:rPr>
          <w:rFonts w:hint="eastAsia" w:hAnsi="宋体" w:cs="宋体"/>
          <w:bCs/>
          <w:sz w:val="24"/>
          <w:szCs w:val="24"/>
        </w:rPr>
        <w:t>注：1、标有“*”的参数为实质性参数，必须满足，否则，其投标无效。</w:t>
      </w:r>
    </w:p>
    <w:p>
      <w:pPr>
        <w:pStyle w:val="13"/>
        <w:spacing w:line="400" w:lineRule="exact"/>
        <w:ind w:firstLine="480" w:firstLineChars="200"/>
        <w:rPr>
          <w:rFonts w:hAnsi="宋体" w:cs="宋体"/>
          <w:bCs/>
          <w:sz w:val="24"/>
          <w:szCs w:val="24"/>
        </w:rPr>
      </w:pPr>
      <w:r>
        <w:rPr>
          <w:rFonts w:hint="eastAsia" w:hAnsi="宋体" w:cs="宋体"/>
          <w:bCs/>
          <w:sz w:val="24"/>
          <w:szCs w:val="24"/>
        </w:rPr>
        <w:t>2、磋商供应商编制投标文件时应对服务期间可能出现的政策、环境和市场的变化带来的运营成本上涨等可能影响报价的因素，做出正确的评估，并体现到投标报价中，否则，造成的经济风险责任自负。</w:t>
      </w:r>
    </w:p>
    <w:p>
      <w:pPr>
        <w:pStyle w:val="13"/>
        <w:spacing w:line="400" w:lineRule="exact"/>
        <w:ind w:firstLine="480" w:firstLineChars="200"/>
        <w:rPr>
          <w:rFonts w:hAnsi="宋体" w:cs="宋体"/>
          <w:bCs/>
          <w:sz w:val="24"/>
          <w:szCs w:val="24"/>
        </w:rPr>
      </w:pPr>
      <w:r>
        <w:rPr>
          <w:rFonts w:hint="eastAsia" w:hAnsi="宋体" w:cs="宋体"/>
          <w:bCs/>
          <w:sz w:val="24"/>
          <w:szCs w:val="24"/>
        </w:rPr>
        <w:t>3、中标供应商不得转包。一经查实，立即取消中标资格。</w:t>
      </w:r>
    </w:p>
    <w:p>
      <w:pPr>
        <w:pStyle w:val="13"/>
        <w:spacing w:line="400" w:lineRule="exact"/>
        <w:ind w:firstLine="480" w:firstLineChars="200"/>
        <w:rPr>
          <w:rFonts w:hAnsi="宋体" w:cs="宋体"/>
          <w:bCs/>
          <w:sz w:val="24"/>
          <w:szCs w:val="24"/>
        </w:rPr>
      </w:pPr>
      <w:r>
        <w:rPr>
          <w:rFonts w:hint="eastAsia" w:hAnsi="宋体" w:cs="宋体"/>
          <w:bCs/>
          <w:sz w:val="24"/>
          <w:szCs w:val="24"/>
        </w:rPr>
        <w:t>4、磋商供应商报价中如有漏项、漏算、少算等内容均视为磋商供应商报价的技术策略并视为默认,中标后，在签订合同时和合同履约过程中，成交供应商不得以不完全了解本项目情况为由，提出任何形式的增加经费或索赔的要求。</w:t>
      </w:r>
    </w:p>
    <w:p>
      <w:pPr>
        <w:pStyle w:val="13"/>
        <w:jc w:val="center"/>
        <w:rPr>
          <w:rFonts w:ascii="仿宋_GB2312" w:hAnsi="宋体" w:cs="宋体"/>
          <w:spacing w:val="20"/>
          <w:sz w:val="28"/>
          <w:szCs w:val="28"/>
          <w:highlight w:val="white"/>
        </w:rPr>
      </w:pPr>
      <w:r>
        <w:rPr>
          <w:rFonts w:hint="eastAsia" w:ascii="仿宋_GB2312" w:hAnsi="宋体" w:cs="宋体"/>
          <w:spacing w:val="20"/>
          <w:sz w:val="28"/>
          <w:szCs w:val="28"/>
          <w:highlight w:val="white"/>
        </w:rPr>
        <w:t>采购清单说明</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一、规划范围</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1、五条全域旅游廊道，以市区滨江道路以及市区通往无为市、芜湖县、繁昌县、南陵县的国省干线公路和县际连接线为重点，</w:t>
      </w:r>
      <w:r>
        <w:rPr>
          <w:rFonts w:hint="eastAsia" w:hAnsi="宋体" w:cs="宋体"/>
          <w:bCs/>
          <w:sz w:val="24"/>
          <w:szCs w:val="24"/>
          <w:lang w:eastAsia="zh-CN"/>
        </w:rPr>
        <w:t>包括</w:t>
      </w:r>
      <w:r>
        <w:rPr>
          <w:rFonts w:hint="eastAsia" w:hAnsi="宋体" w:cs="宋体"/>
          <w:bCs/>
          <w:sz w:val="24"/>
          <w:szCs w:val="24"/>
        </w:rPr>
        <w:t>市区“滨江旅游廊道”（30km）、无为市“旅游廊道”（120km）、芜湖县“旅游廊道”（60km）、繁昌县“旅游廊道”（93km）、南陵县“旅游廊道”（122km）</w:t>
      </w:r>
      <w:r>
        <w:rPr>
          <w:rFonts w:hint="eastAsia" w:hAnsi="宋体" w:cs="宋体"/>
          <w:bCs/>
          <w:sz w:val="24"/>
          <w:szCs w:val="24"/>
          <w:lang w:eastAsia="zh-CN"/>
        </w:rPr>
        <w:t>五条</w:t>
      </w:r>
      <w:r>
        <w:rPr>
          <w:rFonts w:hint="eastAsia" w:hAnsi="宋体" w:cs="宋体"/>
          <w:bCs/>
          <w:sz w:val="24"/>
          <w:szCs w:val="24"/>
        </w:rPr>
        <w:t>旅游特色风景廊道。</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2、十条乡村旅游集聚区风景道，以开城镇、红庙镇、六郎镇、红杨镇、孙村镇、平铺镇、许镇镇、烟墩镇、何湾镇、峨桥镇等乡村旅游集聚区为重点，注重各集聚区之间、集聚区与县域、市域主干道之间的链接。</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二、规划依据</w:t>
      </w:r>
      <w:bookmarkStart w:id="1" w:name="_GoBack"/>
      <w:bookmarkEnd w:id="1"/>
    </w:p>
    <w:p>
      <w:pPr>
        <w:pStyle w:val="13"/>
        <w:spacing w:line="400" w:lineRule="exact"/>
        <w:ind w:firstLine="480" w:firstLineChars="200"/>
        <w:rPr>
          <w:rFonts w:hint="eastAsia" w:hAnsi="宋体" w:cs="宋体"/>
          <w:bCs/>
          <w:sz w:val="24"/>
          <w:szCs w:val="24"/>
        </w:rPr>
      </w:pPr>
      <w:r>
        <w:rPr>
          <w:rFonts w:hint="eastAsia" w:hAnsi="宋体" w:cs="宋体"/>
          <w:bCs/>
          <w:sz w:val="24"/>
          <w:szCs w:val="24"/>
        </w:rPr>
        <w:t>安徽省“十三五”旅游业发展规划、芜湖市城市总体规划、芜湖市旅游总体规划、芜湖市交通“十三五”规划、芜湖市乡村旅游集聚规划、芜湖市“十三五”产业规划、芜湖市土地利用总体规划、芜湖市生态红线保护区规划；沿线各县</w:t>
      </w:r>
      <w:r>
        <w:rPr>
          <w:rFonts w:hint="eastAsia" w:hAnsi="宋体" w:cs="宋体"/>
          <w:bCs/>
          <w:sz w:val="24"/>
          <w:szCs w:val="24"/>
          <w:lang w:eastAsia="zh-CN"/>
        </w:rPr>
        <w:t>（市）</w:t>
      </w:r>
      <w:r>
        <w:rPr>
          <w:rFonts w:hint="eastAsia" w:hAnsi="宋体" w:cs="宋体"/>
          <w:bCs/>
          <w:sz w:val="24"/>
          <w:szCs w:val="24"/>
        </w:rPr>
        <w:t>区土地利用总体规划、旅游相关规划、城市总体规划以及其他相关规划资料；沿途乡镇、街道有关规划等。</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三、规划期限</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近期（2020-2025年），中远期（2026-2030年）。</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四、规划目标</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按照全域旅游理念和风景廊道标准，从发展目标、主体定位、品牌形象、旅游线路等级、旅游服务设施、旅游重点项目、旅游集散体系、生态环境保护、景观控制、旅游示范点和村落提升、保障体系等方面入手，高标准、高起点、高水平编制景观廊道</w:t>
      </w:r>
      <w:r>
        <w:rPr>
          <w:rFonts w:hint="eastAsia" w:hAnsi="宋体" w:cs="宋体"/>
          <w:bCs/>
          <w:sz w:val="24"/>
          <w:szCs w:val="24"/>
          <w:lang w:eastAsia="zh-CN"/>
        </w:rPr>
        <w:t>体系</w:t>
      </w:r>
      <w:r>
        <w:rPr>
          <w:rFonts w:hint="eastAsia" w:hAnsi="宋体" w:cs="宋体"/>
          <w:bCs/>
          <w:sz w:val="24"/>
          <w:szCs w:val="24"/>
        </w:rPr>
        <w:t>规划。</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五、规划要求</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对芜湖市五条廊道沿线旅游资源进行充分调查分析基础上，明确发展定位及开发思路，做好重点旅游基础服务设施</w:t>
      </w:r>
      <w:r>
        <w:rPr>
          <w:rFonts w:hint="eastAsia" w:hAnsi="宋体" w:cs="宋体"/>
          <w:bCs/>
          <w:sz w:val="24"/>
          <w:szCs w:val="24"/>
          <w:lang w:eastAsia="zh-CN"/>
        </w:rPr>
        <w:t>、</w:t>
      </w:r>
      <w:r>
        <w:rPr>
          <w:rFonts w:hint="eastAsia" w:hAnsi="宋体" w:cs="宋体"/>
          <w:bCs/>
          <w:sz w:val="24"/>
          <w:szCs w:val="24"/>
        </w:rPr>
        <w:t>重大旅游项目的建议和布局，特别是旅游廊道与芜湖市10大乡村旅游集聚区的关系。重点规划设计内容</w:t>
      </w:r>
      <w:r>
        <w:rPr>
          <w:rFonts w:hint="eastAsia" w:hAnsi="宋体" w:cs="宋体"/>
          <w:bCs/>
          <w:sz w:val="24"/>
          <w:szCs w:val="24"/>
          <w:lang w:eastAsia="zh-CN"/>
        </w:rPr>
        <w:t>包括</w:t>
      </w:r>
      <w:r>
        <w:rPr>
          <w:rFonts w:hint="eastAsia" w:hAnsi="宋体" w:cs="宋体"/>
          <w:bCs/>
          <w:sz w:val="24"/>
          <w:szCs w:val="24"/>
        </w:rPr>
        <w:t>：1、资源调查及评价；2、功能分区及空间布局；3、廊道主题策划4、旅游集散体系构建5、旅游廊道基础服务设施选址（出入口、旅游厕所、加油站、观景平台、驿站、停车场、标识系统、智慧旅游系统等）；6、旅游廊道景观改造提升；7、景观绿地系统规划；8、重点旅游项目及旅游产品谋划；9、旅游市场营销及品牌推广计划；10、资源环境保护及生态保育规划；11、旅游安全体系规划；12、投资估算及运营模式规划；13、廊道建设三年行动计划</w:t>
      </w:r>
      <w:r>
        <w:rPr>
          <w:rFonts w:hint="eastAsia" w:hAnsi="宋体" w:cs="宋体"/>
          <w:bCs/>
          <w:color w:val="auto"/>
          <w:sz w:val="24"/>
          <w:szCs w:val="24"/>
          <w:highlight w:val="none"/>
          <w:lang w:eastAsia="zh-CN"/>
        </w:rPr>
        <w:t>等</w:t>
      </w:r>
      <w:r>
        <w:rPr>
          <w:rFonts w:hint="eastAsia" w:hAnsi="宋体" w:cs="宋体"/>
          <w:bCs/>
          <w:color w:val="auto"/>
          <w:sz w:val="24"/>
          <w:szCs w:val="24"/>
          <w:highlight w:val="none"/>
        </w:rPr>
        <w:t>。</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六、规划成果要求</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1、规划成果的内容必须符合规划任务书的有关要求和国家规定。</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2、规划成果包括纸质文件及相应的</w:t>
      </w:r>
      <w:r>
        <w:rPr>
          <w:rFonts w:hint="eastAsia" w:hAnsi="宋体" w:cs="宋体"/>
          <w:bCs/>
          <w:sz w:val="24"/>
          <w:szCs w:val="24"/>
          <w:lang w:eastAsia="zh-CN"/>
        </w:rPr>
        <w:t>电子</w:t>
      </w:r>
      <w:r>
        <w:rPr>
          <w:rFonts w:hint="eastAsia" w:hAnsi="宋体" w:cs="宋体"/>
          <w:bCs/>
          <w:sz w:val="24"/>
          <w:szCs w:val="24"/>
        </w:rPr>
        <w:t>文件。</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3、最终成果提供包括文本、图件、说明书、附表、附件在内的A4规格本册</w:t>
      </w:r>
      <w:r>
        <w:rPr>
          <w:rFonts w:hint="eastAsia" w:hAnsi="宋体" w:cs="宋体"/>
          <w:bCs/>
          <w:sz w:val="24"/>
          <w:szCs w:val="24"/>
          <w:lang w:val="en-US" w:eastAsia="zh-CN"/>
        </w:rPr>
        <w:t>10</w:t>
      </w:r>
      <w:r>
        <w:rPr>
          <w:rFonts w:hint="eastAsia" w:hAnsi="宋体" w:cs="宋体"/>
          <w:bCs/>
          <w:sz w:val="24"/>
          <w:szCs w:val="24"/>
        </w:rPr>
        <w:t>套。内容必须清晰完整。</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4、全部规划成果均应制作</w:t>
      </w:r>
      <w:r>
        <w:rPr>
          <w:rFonts w:hint="eastAsia" w:hAnsi="宋体" w:cs="宋体"/>
          <w:bCs/>
          <w:sz w:val="24"/>
          <w:szCs w:val="24"/>
          <w:lang w:eastAsia="zh-CN"/>
        </w:rPr>
        <w:t>电子</w:t>
      </w:r>
      <w:r>
        <w:rPr>
          <w:rFonts w:hint="eastAsia" w:hAnsi="宋体" w:cs="宋体"/>
          <w:bCs/>
          <w:sz w:val="24"/>
          <w:szCs w:val="24"/>
        </w:rPr>
        <w:t>文件，文件采用word、PDF等通用格式文件，图纸采用JPG格式。</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七、时间进度要求</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自邀请函收到之时60天内提交规划正式成果。</w:t>
      </w:r>
    </w:p>
    <w:p>
      <w:pPr>
        <w:pStyle w:val="13"/>
        <w:spacing w:line="400" w:lineRule="exact"/>
        <w:ind w:firstLine="480" w:firstLineChars="200"/>
        <w:rPr>
          <w:rFonts w:hint="eastAsia" w:hAnsi="宋体" w:cs="宋体"/>
          <w:bCs/>
          <w:sz w:val="24"/>
          <w:szCs w:val="24"/>
        </w:rPr>
      </w:pPr>
      <w:r>
        <w:rPr>
          <w:rFonts w:hint="eastAsia" w:hAnsi="宋体" w:cs="宋体"/>
          <w:bCs/>
          <w:sz w:val="24"/>
          <w:szCs w:val="24"/>
        </w:rPr>
        <w:t>八、磋商文件未明确事宜，合同签订时另行约定。</w:t>
      </w:r>
    </w:p>
    <w:p>
      <w:pPr>
        <w:pStyle w:val="42"/>
        <w:ind w:firstLine="470" w:firstLineChars="196"/>
        <w:jc w:val="center"/>
        <w:rPr>
          <w:rFonts w:ascii="宋体" w:hAnsi="宋体"/>
          <w:sz w:val="24"/>
          <w:szCs w:val="24"/>
        </w:rPr>
      </w:pPr>
    </w:p>
    <w:p>
      <w:pPr>
        <w:pStyle w:val="42"/>
        <w:ind w:firstLine="470" w:firstLineChars="196"/>
        <w:jc w:val="center"/>
        <w:rPr>
          <w:rFonts w:ascii="宋体" w:hAnsi="宋体"/>
          <w:sz w:val="24"/>
          <w:szCs w:val="24"/>
          <w:highlight w:val="white"/>
        </w:rPr>
      </w:pPr>
      <w:r>
        <w:rPr>
          <w:rFonts w:hint="eastAsia" w:ascii="宋体" w:hAnsi="宋体"/>
          <w:sz w:val="24"/>
          <w:szCs w:val="24"/>
        </w:rPr>
        <w:t>采购需求一览表</w:t>
      </w:r>
    </w:p>
    <w:tbl>
      <w:tblPr>
        <w:tblStyle w:val="2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478"/>
        <w:gridCol w:w="2302"/>
        <w:gridCol w:w="2294"/>
        <w:gridCol w:w="896"/>
        <w:gridCol w:w="699"/>
        <w:gridCol w:w="621"/>
        <w:gridCol w:w="820"/>
        <w:gridCol w:w="143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8"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序号</w:t>
            </w:r>
          </w:p>
        </w:tc>
        <w:tc>
          <w:tcPr>
            <w:tcW w:w="2302"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名称</w:t>
            </w:r>
          </w:p>
        </w:tc>
        <w:tc>
          <w:tcPr>
            <w:tcW w:w="2294"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技术参数和规格型号</w:t>
            </w:r>
          </w:p>
        </w:tc>
        <w:tc>
          <w:tcPr>
            <w:tcW w:w="896"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数量</w:t>
            </w:r>
          </w:p>
        </w:tc>
        <w:tc>
          <w:tcPr>
            <w:tcW w:w="69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单位</w:t>
            </w:r>
          </w:p>
        </w:tc>
        <w:tc>
          <w:tcPr>
            <w:tcW w:w="621"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单价</w:t>
            </w:r>
          </w:p>
        </w:tc>
        <w:tc>
          <w:tcPr>
            <w:tcW w:w="82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合计价</w:t>
            </w:r>
          </w:p>
        </w:tc>
        <w:tc>
          <w:tcPr>
            <w:tcW w:w="1431"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white"/>
              </w:rPr>
            </w:pPr>
            <w:r>
              <w:rPr>
                <w:rFonts w:hint="eastAsia" w:ascii="宋体" w:hAnsi="宋体"/>
                <w:sz w:val="24"/>
                <w:highlight w:val="white"/>
              </w:rP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3" w:hRule="atLeast"/>
        </w:trPr>
        <w:tc>
          <w:tcPr>
            <w:tcW w:w="478" w:type="dxa"/>
            <w:tcBorders>
              <w:top w:val="outset" w:color="auto" w:sz="6" w:space="0"/>
              <w:left w:val="outset" w:color="auto" w:sz="6" w:space="0"/>
              <w:bottom w:val="outset" w:color="auto" w:sz="6" w:space="0"/>
              <w:right w:val="outset" w:color="auto" w:sz="6" w:space="0"/>
            </w:tcBorders>
            <w:noWrap/>
            <w:vAlign w:val="center"/>
          </w:tcPr>
          <w:p>
            <w:pPr>
              <w:spacing w:line="360" w:lineRule="auto"/>
              <w:jc w:val="center"/>
              <w:rPr>
                <w:rFonts w:ascii="宋体" w:hAnsi="宋体" w:cs="宋体"/>
                <w:sz w:val="24"/>
              </w:rPr>
            </w:pPr>
            <w:r>
              <w:rPr>
                <w:rFonts w:hint="eastAsia" w:ascii="宋体" w:hAnsi="宋体" w:cs="宋体"/>
                <w:sz w:val="24"/>
              </w:rPr>
              <w:t>1</w:t>
            </w:r>
          </w:p>
        </w:tc>
        <w:tc>
          <w:tcPr>
            <w:tcW w:w="2302" w:type="dxa"/>
            <w:tcBorders>
              <w:top w:val="outset" w:color="auto" w:sz="6" w:space="0"/>
              <w:left w:val="outset" w:color="auto" w:sz="6" w:space="0"/>
              <w:bottom w:val="outset" w:color="auto" w:sz="6" w:space="0"/>
              <w:right w:val="outset" w:color="auto" w:sz="6" w:space="0"/>
            </w:tcBorders>
            <w:noWrap/>
            <w:vAlign w:val="center"/>
          </w:tcPr>
          <w:p>
            <w:pPr>
              <w:pStyle w:val="2"/>
              <w:ind w:left="0" w:leftChars="0" w:firstLine="0" w:firstLineChars="0"/>
            </w:pPr>
            <w:r>
              <w:rPr>
                <w:rFonts w:hint="eastAsia" w:ascii="宋体" w:hAnsi="宋体" w:eastAsia="宋体" w:cs="宋体"/>
                <w:kern w:val="2"/>
                <w:sz w:val="24"/>
                <w:szCs w:val="24"/>
                <w:highlight w:val="none"/>
                <w:shd w:val="clear"/>
                <w:lang w:val="en-US" w:eastAsia="zh-CN" w:bidi="ar-SA"/>
              </w:rPr>
              <w:t>芜湖市全域旅游廊道体系规划编制项目</w:t>
            </w:r>
          </w:p>
        </w:tc>
        <w:tc>
          <w:tcPr>
            <w:tcW w:w="2294" w:type="dxa"/>
            <w:tcBorders>
              <w:top w:val="outset" w:color="auto" w:sz="6" w:space="0"/>
              <w:left w:val="outset" w:color="auto" w:sz="6" w:space="0"/>
              <w:bottom w:val="outset" w:color="auto" w:sz="6" w:space="0"/>
              <w:right w:val="outset" w:color="auto" w:sz="6" w:space="0"/>
            </w:tcBorders>
            <w:noWrap/>
            <w:vAlign w:val="center"/>
          </w:tcPr>
          <w:p>
            <w:pPr>
              <w:spacing w:line="360" w:lineRule="auto"/>
              <w:rPr>
                <w:rFonts w:ascii="宋体" w:hAnsi="宋体" w:cs="宋体"/>
                <w:sz w:val="24"/>
              </w:rPr>
            </w:pPr>
            <w:r>
              <w:rPr>
                <w:rFonts w:hint="eastAsia" w:ascii="宋体" w:hAnsi="宋体" w:cs="宋体"/>
                <w:sz w:val="24"/>
              </w:rPr>
              <w:t>详见采购清单说明</w:t>
            </w:r>
          </w:p>
        </w:tc>
        <w:tc>
          <w:tcPr>
            <w:tcW w:w="896" w:type="dxa"/>
            <w:tcBorders>
              <w:top w:val="outset" w:color="auto" w:sz="6" w:space="0"/>
              <w:left w:val="outset" w:color="auto" w:sz="6" w:space="0"/>
              <w:bottom w:val="outset" w:color="auto" w:sz="6" w:space="0"/>
              <w:right w:val="outset" w:color="auto" w:sz="6" w:space="0"/>
            </w:tcBorders>
            <w:noWrap/>
            <w:vAlign w:val="center"/>
          </w:tcPr>
          <w:p>
            <w:pPr>
              <w:spacing w:line="360" w:lineRule="auto"/>
              <w:ind w:firstLine="480" w:firstLineChars="200"/>
              <w:rPr>
                <w:rFonts w:ascii="宋体" w:hAnsi="宋体" w:cs="宋体"/>
                <w:sz w:val="24"/>
              </w:rPr>
            </w:pPr>
            <w:r>
              <w:rPr>
                <w:rFonts w:hint="eastAsia" w:ascii="宋体" w:hAnsi="宋体" w:cs="宋体"/>
                <w:sz w:val="24"/>
              </w:rPr>
              <w:t>1</w:t>
            </w:r>
          </w:p>
        </w:tc>
        <w:tc>
          <w:tcPr>
            <w:tcW w:w="699" w:type="dxa"/>
            <w:tcBorders>
              <w:top w:val="outset" w:color="auto" w:sz="6" w:space="0"/>
              <w:left w:val="outset" w:color="auto" w:sz="6" w:space="0"/>
              <w:bottom w:val="outset" w:color="auto" w:sz="6" w:space="0"/>
              <w:right w:val="outset" w:color="auto" w:sz="6" w:space="0"/>
            </w:tcBorders>
            <w:noWrap/>
            <w:vAlign w:val="center"/>
          </w:tcPr>
          <w:p>
            <w:pPr>
              <w:spacing w:line="360" w:lineRule="auto"/>
              <w:jc w:val="center"/>
              <w:rPr>
                <w:rFonts w:ascii="宋体" w:hAnsi="宋体" w:cs="宋体"/>
                <w:sz w:val="24"/>
              </w:rPr>
            </w:pPr>
            <w:r>
              <w:rPr>
                <w:rFonts w:hint="eastAsia" w:ascii="宋体" w:hAnsi="宋体" w:cs="宋体"/>
                <w:sz w:val="24"/>
              </w:rPr>
              <w:t>项</w:t>
            </w:r>
          </w:p>
        </w:tc>
        <w:tc>
          <w:tcPr>
            <w:tcW w:w="621" w:type="dxa"/>
            <w:tcBorders>
              <w:top w:val="outset" w:color="auto" w:sz="6" w:space="0"/>
              <w:left w:val="outset" w:color="auto" w:sz="6" w:space="0"/>
              <w:bottom w:val="outset" w:color="auto" w:sz="6" w:space="0"/>
              <w:right w:val="outset" w:color="auto" w:sz="6" w:space="0"/>
            </w:tcBorders>
            <w:noWrap/>
            <w:vAlign w:val="center"/>
          </w:tcPr>
          <w:p>
            <w:pPr>
              <w:spacing w:line="360" w:lineRule="auto"/>
              <w:ind w:firstLine="480" w:firstLineChars="200"/>
              <w:rPr>
                <w:rFonts w:ascii="宋体" w:hAnsi="宋体" w:cs="宋体"/>
                <w:sz w:val="24"/>
              </w:rPr>
            </w:pPr>
          </w:p>
        </w:tc>
        <w:tc>
          <w:tcPr>
            <w:tcW w:w="82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yellow"/>
              </w:rPr>
            </w:pPr>
          </w:p>
        </w:tc>
        <w:tc>
          <w:tcPr>
            <w:tcW w:w="1431"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sz w:val="24"/>
                <w:highlight w:val="yellow"/>
              </w:rPr>
            </w:pPr>
          </w:p>
        </w:tc>
      </w:tr>
    </w:tbl>
    <w:p>
      <w:pPr>
        <w:pStyle w:val="6"/>
        <w:jc w:val="left"/>
        <w:rPr>
          <w:rFonts w:ascii="宋体" w:hAnsi="宋体" w:eastAsia="宋体" w:cs="宋体"/>
          <w:b w:val="0"/>
          <w:bCs w:val="0"/>
          <w:sz w:val="23"/>
          <w:szCs w:val="23"/>
        </w:rPr>
      </w:pPr>
      <w:r>
        <w:rPr>
          <w:rFonts w:hint="eastAsia" w:ascii="宋体" w:hAnsi="宋体" w:eastAsia="宋体" w:cs="宋体"/>
          <w:b w:val="0"/>
          <w:bCs w:val="0"/>
          <w:sz w:val="23"/>
          <w:szCs w:val="23"/>
        </w:rPr>
        <w:t>备注：其他未提及或需要补充的内容将在合同签订时加以补充说明。</w:t>
      </w:r>
    </w:p>
    <w:p>
      <w:pPr>
        <w:rPr>
          <w:rFonts w:ascii="宋体" w:hAnsi="宋体" w:cs="宋体"/>
        </w:rPr>
      </w:pPr>
    </w:p>
    <w:p>
      <w:pPr>
        <w:pStyle w:val="2"/>
        <w:ind w:firstLine="480"/>
        <w:rPr>
          <w:rFonts w:ascii="宋体" w:hAnsi="宋体" w:cs="宋体"/>
        </w:rPr>
      </w:pPr>
    </w:p>
    <w:p>
      <w:pPr>
        <w:pStyle w:val="2"/>
        <w:ind w:firstLine="480"/>
        <w:rPr>
          <w:rFonts w:ascii="宋体" w:hAnsi="宋体" w:cs="宋体"/>
        </w:rPr>
      </w:pPr>
    </w:p>
    <w:p>
      <w:pPr>
        <w:pStyle w:val="2"/>
        <w:ind w:firstLine="480"/>
        <w:rPr>
          <w:rFonts w:ascii="宋体" w:hAnsi="宋体" w:cs="宋体"/>
        </w:rPr>
      </w:pPr>
    </w:p>
    <w:p>
      <w:pPr>
        <w:pStyle w:val="2"/>
        <w:ind w:firstLine="480"/>
        <w:rPr>
          <w:rFonts w:ascii="宋体" w:hAnsi="宋体" w:cs="宋体"/>
        </w:rPr>
      </w:pPr>
    </w:p>
    <w:p>
      <w:pPr>
        <w:pStyle w:val="2"/>
        <w:ind w:firstLine="480"/>
        <w:rPr>
          <w:rFonts w:ascii="宋体" w:hAnsi="宋体" w:cs="宋体"/>
        </w:rPr>
      </w:pPr>
    </w:p>
    <w:p>
      <w:pPr>
        <w:pStyle w:val="2"/>
        <w:ind w:firstLine="480"/>
        <w:rPr>
          <w:rFonts w:ascii="宋体" w:hAnsi="宋体" w:cs="宋体"/>
        </w:rPr>
      </w:pPr>
    </w:p>
    <w:p>
      <w:pPr>
        <w:pStyle w:val="2"/>
        <w:ind w:firstLine="480"/>
        <w:rPr>
          <w:rFonts w:ascii="宋体" w:hAnsi="宋体" w:cs="宋体"/>
        </w:rPr>
      </w:pPr>
    </w:p>
    <w:p>
      <w:pPr>
        <w:pStyle w:val="2"/>
        <w:ind w:firstLine="0" w:firstLineChars="0"/>
        <w:rPr>
          <w:rFonts w:ascii="宋体" w:hAnsi="宋体" w:cs="宋体"/>
        </w:rPr>
      </w:pPr>
    </w:p>
    <w:p>
      <w:pPr>
        <w:pStyle w:val="2"/>
        <w:ind w:firstLine="0" w:firstLineChars="0"/>
        <w:rPr>
          <w:rFonts w:ascii="宋体" w:hAnsi="宋体" w:cs="宋体"/>
        </w:rPr>
      </w:pPr>
    </w:p>
    <w:p>
      <w:pPr>
        <w:pStyle w:val="2"/>
        <w:ind w:firstLine="0" w:firstLineChars="0"/>
        <w:rPr>
          <w:rFonts w:ascii="宋体" w:hAnsi="宋体" w:cs="宋体"/>
        </w:rPr>
      </w:pPr>
    </w:p>
    <w:p>
      <w:pPr>
        <w:pStyle w:val="6"/>
        <w:jc w:val="center"/>
      </w:pPr>
      <w:r>
        <w:rPr>
          <w:rFonts w:hint="eastAsia" w:ascii="宋体" w:hAnsi="宋体" w:eastAsia="宋体" w:cs="宋体"/>
        </w:rPr>
        <w:t>第五章  评审程序、方法和标准</w:t>
      </w:r>
    </w:p>
    <w:p>
      <w:pPr>
        <w:spacing w:line="360" w:lineRule="auto"/>
        <w:ind w:firstLine="482" w:firstLineChars="200"/>
        <w:rPr>
          <w:rFonts w:ascii="宋体" w:hAnsi="宋体"/>
          <w:b/>
          <w:bCs/>
          <w:sz w:val="24"/>
          <w:highlight w:val="white"/>
        </w:rPr>
      </w:pPr>
      <w:bookmarkStart w:id="0" w:name="EB066763282e454600abc10582fb4919e1"/>
      <w:r>
        <w:rPr>
          <w:rFonts w:hint="eastAsia" w:ascii="宋体" w:hAnsi="宋体"/>
          <w:b/>
          <w:bCs/>
          <w:sz w:val="24"/>
          <w:highlight w:val="white"/>
        </w:rPr>
        <w:t>一、评审程序</w:t>
      </w:r>
    </w:p>
    <w:p>
      <w:pPr>
        <w:spacing w:line="360" w:lineRule="auto"/>
        <w:ind w:firstLine="482" w:firstLineChars="200"/>
        <w:rPr>
          <w:rFonts w:ascii="宋体" w:hAnsi="宋体"/>
          <w:b/>
          <w:bCs/>
          <w:sz w:val="24"/>
          <w:highlight w:val="white"/>
        </w:rPr>
      </w:pPr>
      <w:r>
        <w:rPr>
          <w:rFonts w:hint="eastAsia" w:ascii="宋体" w:hAnsi="宋体"/>
          <w:b/>
          <w:bCs/>
          <w:sz w:val="24"/>
          <w:highlight w:val="white"/>
        </w:rPr>
        <w:t xml:space="preserve">（一）评审原则 </w:t>
      </w:r>
    </w:p>
    <w:p>
      <w:pPr>
        <w:spacing w:line="360" w:lineRule="auto"/>
        <w:ind w:firstLine="480" w:firstLineChars="200"/>
        <w:rPr>
          <w:rFonts w:ascii="宋体" w:hAnsi="宋体"/>
          <w:sz w:val="24"/>
          <w:highlight w:val="white"/>
        </w:rPr>
      </w:pPr>
      <w:r>
        <w:rPr>
          <w:rFonts w:hint="eastAsia" w:ascii="宋体" w:hAnsi="宋体"/>
          <w:sz w:val="24"/>
          <w:highlight w:val="white"/>
        </w:rPr>
        <w:t>1、合法、合规原则。</w:t>
      </w:r>
    </w:p>
    <w:p>
      <w:pPr>
        <w:spacing w:line="360" w:lineRule="auto"/>
        <w:ind w:firstLine="480" w:firstLineChars="200"/>
        <w:rPr>
          <w:rFonts w:ascii="宋体" w:hAnsi="宋体"/>
          <w:sz w:val="24"/>
          <w:highlight w:val="white"/>
        </w:rPr>
      </w:pPr>
      <w:r>
        <w:rPr>
          <w:rFonts w:hint="eastAsia" w:ascii="宋体" w:hAnsi="宋体"/>
          <w:sz w:val="24"/>
          <w:highlight w:val="white"/>
        </w:rPr>
        <w:t>2、符合芜湖市公共资源交易中心交易规则原则。</w:t>
      </w:r>
    </w:p>
    <w:p>
      <w:pPr>
        <w:spacing w:line="360" w:lineRule="auto"/>
        <w:ind w:firstLine="480" w:firstLineChars="200"/>
        <w:rPr>
          <w:rFonts w:ascii="宋体" w:hAnsi="宋体"/>
          <w:sz w:val="24"/>
          <w:highlight w:val="white"/>
        </w:rPr>
      </w:pPr>
      <w:r>
        <w:rPr>
          <w:rFonts w:hint="eastAsia" w:ascii="宋体" w:hAnsi="宋体"/>
          <w:sz w:val="24"/>
          <w:highlight w:val="white"/>
        </w:rPr>
        <w:t>3、公平、公正、科学、审慎、择优原则。</w:t>
      </w:r>
    </w:p>
    <w:p>
      <w:pPr>
        <w:spacing w:line="360" w:lineRule="auto"/>
        <w:ind w:firstLine="480" w:firstLineChars="200"/>
        <w:rPr>
          <w:rFonts w:ascii="宋体" w:hAnsi="宋体"/>
          <w:sz w:val="24"/>
          <w:highlight w:val="white"/>
        </w:rPr>
      </w:pPr>
      <w:r>
        <w:rPr>
          <w:rFonts w:hint="eastAsia" w:ascii="宋体" w:hAnsi="宋体"/>
          <w:sz w:val="24"/>
          <w:highlight w:val="white"/>
        </w:rPr>
        <w:t>4、高分优先原则。衡量响应文件满足竞争性磋商文件规定的各项评审标准的程度，折算为综合得分分值，依据每个磋商供应商的综合得分由高到低，依次确定排名顺序。</w:t>
      </w:r>
    </w:p>
    <w:p>
      <w:pPr>
        <w:spacing w:line="360" w:lineRule="auto"/>
        <w:ind w:firstLine="482" w:firstLineChars="200"/>
        <w:rPr>
          <w:rFonts w:ascii="宋体" w:hAnsi="宋体"/>
          <w:b/>
          <w:bCs/>
          <w:sz w:val="24"/>
          <w:highlight w:val="white"/>
        </w:rPr>
      </w:pPr>
      <w:r>
        <w:rPr>
          <w:rFonts w:hint="eastAsia" w:ascii="宋体" w:hAnsi="宋体"/>
          <w:b/>
          <w:bCs/>
          <w:sz w:val="24"/>
          <w:highlight w:val="white"/>
        </w:rPr>
        <w:t>（二）评审程序</w:t>
      </w:r>
    </w:p>
    <w:p>
      <w:pPr>
        <w:spacing w:line="360" w:lineRule="auto"/>
        <w:ind w:firstLine="480" w:firstLineChars="200"/>
        <w:rPr>
          <w:rFonts w:ascii="宋体" w:hAnsi="宋体"/>
          <w:sz w:val="24"/>
          <w:highlight w:val="white"/>
        </w:rPr>
      </w:pPr>
      <w:r>
        <w:rPr>
          <w:rFonts w:hint="eastAsia" w:ascii="宋体" w:hAnsi="宋体"/>
          <w:sz w:val="24"/>
          <w:highlight w:val="white"/>
        </w:rPr>
        <w:t>1、磋商小组确认</w:t>
      </w:r>
    </w:p>
    <w:p>
      <w:pPr>
        <w:spacing w:line="360" w:lineRule="auto"/>
        <w:ind w:firstLine="480" w:firstLineChars="200"/>
        <w:rPr>
          <w:rFonts w:ascii="宋体" w:hAnsi="宋体"/>
          <w:sz w:val="24"/>
          <w:highlight w:val="white"/>
        </w:rPr>
      </w:pPr>
      <w:r>
        <w:rPr>
          <w:rFonts w:hint="eastAsia" w:ascii="宋体" w:hAnsi="宋体"/>
          <w:sz w:val="24"/>
          <w:highlight w:val="white"/>
        </w:rPr>
        <w:t>磋商小组对照磋商供应商名单，确认是否存在回避现象，并签署承诺书。</w:t>
      </w:r>
    </w:p>
    <w:p>
      <w:pPr>
        <w:spacing w:line="360" w:lineRule="auto"/>
        <w:ind w:firstLine="480" w:firstLineChars="200"/>
        <w:rPr>
          <w:rFonts w:ascii="宋体" w:hAnsi="宋体"/>
          <w:sz w:val="24"/>
          <w:highlight w:val="white"/>
        </w:rPr>
      </w:pPr>
      <w:r>
        <w:rPr>
          <w:rFonts w:hint="eastAsia" w:ascii="宋体" w:hAnsi="宋体"/>
          <w:sz w:val="24"/>
          <w:highlight w:val="white"/>
        </w:rPr>
        <w:t>磋商小组检查磋商文件，是否存在违反有关法律法规的内容和条款。</w:t>
      </w:r>
    </w:p>
    <w:p>
      <w:pPr>
        <w:spacing w:line="360" w:lineRule="auto"/>
        <w:ind w:firstLine="480" w:firstLineChars="200"/>
        <w:rPr>
          <w:rFonts w:ascii="宋体" w:hAnsi="宋体"/>
          <w:sz w:val="24"/>
          <w:highlight w:val="white"/>
        </w:rPr>
      </w:pPr>
      <w:r>
        <w:rPr>
          <w:rFonts w:hint="eastAsia" w:ascii="宋体" w:hAnsi="宋体"/>
          <w:sz w:val="24"/>
          <w:highlight w:val="white"/>
        </w:rPr>
        <w:t>2、磋商小组推选组长，讨论、通过磋商工作流程和磋商要点。</w:t>
      </w:r>
    </w:p>
    <w:p>
      <w:pPr>
        <w:spacing w:line="360" w:lineRule="auto"/>
        <w:ind w:firstLine="480" w:firstLineChars="200"/>
        <w:rPr>
          <w:rFonts w:ascii="宋体" w:hAnsi="宋体"/>
          <w:sz w:val="24"/>
          <w:highlight w:val="white"/>
        </w:rPr>
      </w:pPr>
      <w:r>
        <w:rPr>
          <w:rFonts w:hint="eastAsia" w:ascii="宋体" w:hAnsi="宋体"/>
          <w:sz w:val="24"/>
          <w:highlight w:val="white"/>
        </w:rPr>
        <w:t>3、资格性审查</w:t>
      </w:r>
    </w:p>
    <w:p>
      <w:pPr>
        <w:spacing w:line="360" w:lineRule="auto"/>
        <w:ind w:firstLine="480" w:firstLineChars="200"/>
        <w:rPr>
          <w:rFonts w:ascii="宋体" w:hAnsi="宋体"/>
          <w:sz w:val="24"/>
          <w:highlight w:val="white"/>
        </w:rPr>
      </w:pPr>
      <w:r>
        <w:rPr>
          <w:rFonts w:hint="eastAsia" w:ascii="宋体" w:hAnsi="宋体"/>
          <w:sz w:val="24"/>
          <w:highlight w:val="white"/>
        </w:rPr>
        <w:t>磋商开始后，磋商小组依据磋商文件规定对响应文件中的资格证明材料进行审查，以确定磋商供应商是否具备参与磋商的资格。具体见 “资格性和符合性评审内容及标准”。</w:t>
      </w:r>
    </w:p>
    <w:p>
      <w:pPr>
        <w:spacing w:line="360" w:lineRule="auto"/>
        <w:ind w:firstLine="480" w:firstLineChars="200"/>
        <w:rPr>
          <w:rFonts w:ascii="宋体" w:hAnsi="宋体"/>
          <w:sz w:val="24"/>
          <w:highlight w:val="white"/>
        </w:rPr>
      </w:pPr>
      <w:r>
        <w:rPr>
          <w:rFonts w:hint="eastAsia" w:ascii="宋体" w:hAnsi="宋体"/>
          <w:sz w:val="24"/>
          <w:highlight w:val="white"/>
        </w:rPr>
        <w:t>4、符合性审查。</w:t>
      </w:r>
    </w:p>
    <w:p>
      <w:pPr>
        <w:spacing w:line="360" w:lineRule="auto"/>
        <w:ind w:firstLine="480" w:firstLineChars="200"/>
        <w:rPr>
          <w:rFonts w:ascii="宋体" w:hAnsi="宋体"/>
          <w:sz w:val="24"/>
          <w:highlight w:val="white"/>
        </w:rPr>
      </w:pPr>
      <w:r>
        <w:rPr>
          <w:rFonts w:hint="eastAsia" w:ascii="宋体" w:hAnsi="宋体"/>
          <w:sz w:val="24"/>
          <w:highlight w:val="white"/>
        </w:rPr>
        <w:t>磋商小组依据磋商文件的规定，对响应文件是否符合磋商文件的规定进行审查，以确定响应文件是否对磋商文件的实质性要求作出响应。具体见 “资格性和符合性评审内容及标准”。</w:t>
      </w:r>
    </w:p>
    <w:p>
      <w:pPr>
        <w:spacing w:line="360" w:lineRule="auto"/>
        <w:ind w:firstLine="482" w:firstLineChars="200"/>
        <w:rPr>
          <w:rFonts w:ascii="宋体" w:hAnsi="宋体"/>
          <w:b/>
          <w:bCs/>
          <w:sz w:val="24"/>
          <w:highlight w:val="white"/>
        </w:rPr>
      </w:pPr>
      <w:r>
        <w:rPr>
          <w:rFonts w:hint="eastAsia" w:ascii="宋体" w:hAnsi="宋体"/>
          <w:b/>
          <w:bCs/>
          <w:sz w:val="24"/>
          <w:highlight w:val="white"/>
        </w:rPr>
        <w:t>无效响应文件</w:t>
      </w:r>
    </w:p>
    <w:p>
      <w:pPr>
        <w:spacing w:line="360" w:lineRule="auto"/>
        <w:ind w:firstLine="482" w:firstLineChars="200"/>
        <w:rPr>
          <w:rFonts w:ascii="宋体" w:hAnsi="宋体"/>
          <w:b/>
          <w:bCs/>
          <w:sz w:val="24"/>
          <w:highlight w:val="white"/>
        </w:rPr>
      </w:pPr>
      <w:r>
        <w:rPr>
          <w:rFonts w:hint="eastAsia" w:ascii="宋体" w:hAnsi="宋体"/>
          <w:b/>
          <w:bCs/>
          <w:sz w:val="24"/>
          <w:highlight w:val="white"/>
        </w:rPr>
        <w:t>在资格性审查和符合性审查中，如出现以下情况之一的响应文件，按无效响应文件处理，该供应商不再进行磋商，磋商小组当场告知供应商。</w:t>
      </w:r>
    </w:p>
    <w:p>
      <w:pPr>
        <w:spacing w:line="360" w:lineRule="auto"/>
        <w:ind w:firstLine="482" w:firstLineChars="200"/>
        <w:rPr>
          <w:rFonts w:ascii="宋体" w:hAnsi="宋体"/>
          <w:b/>
          <w:bCs/>
          <w:sz w:val="24"/>
          <w:highlight w:val="white"/>
        </w:rPr>
      </w:pPr>
      <w:r>
        <w:rPr>
          <w:rFonts w:hint="eastAsia" w:ascii="宋体" w:hAnsi="宋体"/>
          <w:b/>
          <w:bCs/>
          <w:sz w:val="24"/>
          <w:highlight w:val="white"/>
        </w:rPr>
        <w:t>（1）响应文件中资格证明文件不全或未实质性响应磋商文件要求的；</w:t>
      </w:r>
    </w:p>
    <w:p>
      <w:pPr>
        <w:spacing w:line="360" w:lineRule="auto"/>
        <w:ind w:firstLine="482" w:firstLineChars="200"/>
        <w:rPr>
          <w:rFonts w:ascii="宋体" w:hAnsi="宋体"/>
          <w:b/>
          <w:bCs/>
          <w:sz w:val="24"/>
          <w:highlight w:val="white"/>
        </w:rPr>
      </w:pPr>
      <w:r>
        <w:rPr>
          <w:rFonts w:hint="eastAsia" w:ascii="宋体" w:hAnsi="宋体"/>
          <w:b/>
          <w:bCs/>
          <w:sz w:val="24"/>
          <w:highlight w:val="white"/>
        </w:rPr>
        <w:t>（2）响应文件中未按磋商文件要求由法定代表人或有效的授权委托人签字，或而未按要求盖章，或授权期限不符合要求的；</w:t>
      </w:r>
    </w:p>
    <w:p>
      <w:pPr>
        <w:spacing w:line="360" w:lineRule="auto"/>
        <w:ind w:firstLine="482" w:firstLineChars="200"/>
        <w:rPr>
          <w:rFonts w:ascii="宋体" w:hAnsi="宋体"/>
          <w:b/>
          <w:bCs/>
          <w:sz w:val="24"/>
          <w:highlight w:val="white"/>
        </w:rPr>
      </w:pPr>
      <w:r>
        <w:rPr>
          <w:rFonts w:hint="eastAsia" w:ascii="宋体" w:hAnsi="宋体"/>
          <w:b/>
          <w:bCs/>
          <w:sz w:val="24"/>
          <w:highlight w:val="white"/>
        </w:rPr>
        <w:t>（3）响应文件有效期短于磋商文件规定的有效期的；</w:t>
      </w:r>
    </w:p>
    <w:p>
      <w:pPr>
        <w:spacing w:line="360" w:lineRule="auto"/>
        <w:ind w:firstLine="482" w:firstLineChars="200"/>
        <w:rPr>
          <w:rFonts w:ascii="宋体" w:hAnsi="宋体"/>
          <w:b/>
          <w:bCs/>
          <w:sz w:val="24"/>
          <w:highlight w:val="white"/>
        </w:rPr>
      </w:pPr>
      <w:r>
        <w:rPr>
          <w:rFonts w:hint="eastAsia" w:ascii="宋体" w:hAnsi="宋体"/>
          <w:b/>
          <w:bCs/>
          <w:sz w:val="24"/>
          <w:highlight w:val="white"/>
        </w:rPr>
        <w:t>（4）响应文件中提供虚假或失实资料的；</w:t>
      </w:r>
    </w:p>
    <w:p>
      <w:pPr>
        <w:spacing w:line="360" w:lineRule="auto"/>
        <w:ind w:firstLine="482" w:firstLineChars="200"/>
        <w:rPr>
          <w:rFonts w:ascii="宋体" w:hAnsi="宋体" w:cs="宋体"/>
          <w:sz w:val="28"/>
          <w:szCs w:val="28"/>
        </w:rPr>
      </w:pPr>
      <w:r>
        <w:rPr>
          <w:rFonts w:hint="eastAsia" w:ascii="宋体" w:hAnsi="宋体"/>
          <w:b/>
          <w:bCs/>
          <w:sz w:val="24"/>
          <w:highlight w:val="white"/>
        </w:rPr>
        <w:t>（5）不满足磋商文件其他实质性要求的。</w:t>
      </w:r>
    </w:p>
    <w:p>
      <w:pPr>
        <w:spacing w:line="360" w:lineRule="auto"/>
        <w:ind w:firstLine="480" w:firstLineChars="200"/>
        <w:rPr>
          <w:rFonts w:ascii="宋体" w:hAnsi="宋体"/>
          <w:sz w:val="24"/>
          <w:highlight w:val="white"/>
        </w:rPr>
      </w:pPr>
      <w:r>
        <w:rPr>
          <w:rFonts w:hint="eastAsia" w:ascii="宋体" w:hAnsi="宋体"/>
          <w:sz w:val="24"/>
          <w:highlight w:val="white"/>
        </w:rPr>
        <w:t>资格性和符合性评审内容及标准</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有下列情形之一的，磋商小组应做无效投标处理： </w:t>
      </w:r>
    </w:p>
    <w:tbl>
      <w:tblPr>
        <w:tblStyle w:val="23"/>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2977"/>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8" w:type="dxa"/>
            <w:gridSpan w:val="2"/>
          </w:tcPr>
          <w:p>
            <w:pPr>
              <w:spacing w:line="360" w:lineRule="auto"/>
              <w:ind w:firstLine="460" w:firstLineChars="200"/>
              <w:jc w:val="center"/>
              <w:rPr>
                <w:rFonts w:ascii="宋体" w:hAnsi="宋体"/>
                <w:sz w:val="23"/>
                <w:szCs w:val="23"/>
                <w:highlight w:val="white"/>
              </w:rPr>
            </w:pPr>
            <w:r>
              <w:rPr>
                <w:rFonts w:hint="eastAsia" w:ascii="宋体" w:hAnsi="宋体"/>
                <w:sz w:val="23"/>
                <w:szCs w:val="23"/>
                <w:highlight w:val="white"/>
              </w:rPr>
              <w:t>评审内容</w:t>
            </w:r>
          </w:p>
        </w:tc>
        <w:tc>
          <w:tcPr>
            <w:tcW w:w="4330" w:type="dxa"/>
          </w:tcPr>
          <w:p>
            <w:pPr>
              <w:spacing w:line="360" w:lineRule="auto"/>
              <w:ind w:firstLine="460" w:firstLineChars="200"/>
              <w:jc w:val="center"/>
              <w:rPr>
                <w:rFonts w:ascii="宋体" w:hAnsi="宋体"/>
                <w:sz w:val="23"/>
                <w:szCs w:val="23"/>
                <w:highlight w:val="white"/>
              </w:rPr>
            </w:pPr>
            <w:r>
              <w:rPr>
                <w:rFonts w:hint="eastAsia" w:ascii="宋体" w:hAnsi="宋体"/>
                <w:sz w:val="23"/>
                <w:szCs w:val="23"/>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71" w:type="dxa"/>
            <w:vMerge w:val="restart"/>
            <w:vAlign w:val="center"/>
          </w:tcPr>
          <w:p>
            <w:pPr>
              <w:spacing w:line="360" w:lineRule="auto"/>
              <w:rPr>
                <w:rFonts w:ascii="宋体" w:hAnsi="宋体"/>
                <w:sz w:val="23"/>
                <w:szCs w:val="23"/>
                <w:highlight w:val="white"/>
              </w:rPr>
            </w:pPr>
            <w:r>
              <w:rPr>
                <w:rFonts w:hint="eastAsia" w:ascii="宋体" w:hAnsi="宋体"/>
                <w:sz w:val="23"/>
                <w:szCs w:val="23"/>
                <w:highlight w:val="white"/>
              </w:rPr>
              <w:t>资格性审查</w:t>
            </w:r>
          </w:p>
        </w:tc>
        <w:tc>
          <w:tcPr>
            <w:tcW w:w="2977" w:type="dxa"/>
            <w:vAlign w:val="center"/>
          </w:tcPr>
          <w:p>
            <w:pPr>
              <w:spacing w:line="360" w:lineRule="auto"/>
              <w:ind w:firstLine="460" w:firstLineChars="200"/>
              <w:rPr>
                <w:rFonts w:hint="eastAsia" w:ascii="宋体" w:hAnsi="宋体" w:eastAsia="宋体"/>
                <w:sz w:val="23"/>
                <w:szCs w:val="23"/>
                <w:lang w:eastAsia="zh-CN"/>
              </w:rPr>
            </w:pPr>
            <w:r>
              <w:rPr>
                <w:rFonts w:hint="eastAsia" w:ascii="宋体" w:hAnsi="宋体"/>
                <w:sz w:val="23"/>
                <w:szCs w:val="23"/>
                <w:highlight w:val="none"/>
              </w:rPr>
              <w:t>营业执照</w:t>
            </w:r>
            <w:r>
              <w:rPr>
                <w:rFonts w:hint="eastAsia" w:ascii="宋体" w:hAnsi="宋体"/>
                <w:sz w:val="23"/>
                <w:szCs w:val="23"/>
                <w:highlight w:val="none"/>
                <w:lang w:eastAsia="zh-CN"/>
              </w:rPr>
              <w:t>或事业单位法人证书</w:t>
            </w:r>
          </w:p>
        </w:tc>
        <w:tc>
          <w:tcPr>
            <w:tcW w:w="4330" w:type="dxa"/>
            <w:vAlign w:val="center"/>
          </w:tcPr>
          <w:p>
            <w:pPr>
              <w:spacing w:line="360" w:lineRule="auto"/>
              <w:ind w:firstLine="460" w:firstLineChars="200"/>
              <w:rPr>
                <w:rFonts w:ascii="宋体" w:hAnsi="宋体"/>
                <w:sz w:val="23"/>
                <w:szCs w:val="23"/>
              </w:rPr>
            </w:pPr>
            <w:r>
              <w:rPr>
                <w:rFonts w:hint="eastAsia" w:ascii="宋体" w:hAnsi="宋体"/>
                <w:sz w:val="23"/>
                <w:szCs w:val="23"/>
              </w:rPr>
              <w:t>未提供合法有效工商营业执照或事业单位法人证书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资质及其他资格要求</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rPr>
                <w:rFonts w:ascii="宋体" w:hAnsi="宋体"/>
                <w:sz w:val="23"/>
                <w:szCs w:val="23"/>
                <w:highlight w:val="white"/>
              </w:rPr>
            </w:pPr>
            <w:r>
              <w:rPr>
                <w:rFonts w:hint="eastAsia" w:ascii="宋体" w:hAnsi="宋体"/>
                <w:sz w:val="23"/>
                <w:szCs w:val="23"/>
                <w:highlight w:val="white"/>
              </w:rPr>
              <w:t>法定代表人或授权代表资格</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其他</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供应商被行政监督部门作出禁止投标处罚且在有效期内的，或其他违反法律法规和磋商文件规定的情形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71" w:type="dxa"/>
            <w:vMerge w:val="restart"/>
          </w:tcPr>
          <w:p>
            <w:pPr>
              <w:spacing w:line="360" w:lineRule="auto"/>
              <w:rPr>
                <w:rFonts w:ascii="宋体" w:hAnsi="宋体"/>
                <w:sz w:val="23"/>
                <w:szCs w:val="23"/>
                <w:highlight w:val="white"/>
              </w:rPr>
            </w:pPr>
            <w:r>
              <w:rPr>
                <w:rFonts w:hint="eastAsia" w:ascii="宋体" w:hAnsi="宋体"/>
                <w:sz w:val="23"/>
                <w:szCs w:val="23"/>
                <w:highlight w:val="white"/>
              </w:rPr>
              <w:t>符合性审查</w:t>
            </w:r>
          </w:p>
        </w:tc>
        <w:tc>
          <w:tcPr>
            <w:tcW w:w="2977" w:type="dxa"/>
            <w:tcBorders>
              <w:bottom w:val="single" w:color="auto" w:sz="4" w:space="0"/>
            </w:tcBorders>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供应商名称</w:t>
            </w:r>
          </w:p>
        </w:tc>
        <w:tc>
          <w:tcPr>
            <w:tcW w:w="4330" w:type="dxa"/>
            <w:tcBorders>
              <w:bottom w:val="single" w:color="auto" w:sz="4" w:space="0"/>
            </w:tcBorders>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响应文件签署</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未按磋商文件要求签字或盖章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响应文件格式</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未按规定格式填写，实质性内容不全或关键字迹模糊、无法辨认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响应方案及报价</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递交两份或多份内容不同的响应文件，或在一份响应文件中对同一磋商项目有两个或多个报价，且未声明哪一个有效的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竞争性磋商有效期</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cs="宋体"/>
                <w:sz w:val="23"/>
                <w:szCs w:val="23"/>
              </w:rPr>
              <w:t>供货（服务）期、履约地点、付款方式</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cs="宋体"/>
                <w:sz w:val="23"/>
                <w:szCs w:val="23"/>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cs="宋体"/>
                <w:sz w:val="23"/>
                <w:szCs w:val="23"/>
              </w:rPr>
              <w:t>磋商保证金</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sz w:val="23"/>
                <w:szCs w:val="23"/>
                <w:highlight w:val="white"/>
              </w:rPr>
            </w:pPr>
          </w:p>
        </w:tc>
        <w:tc>
          <w:tcPr>
            <w:tcW w:w="2977"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其他实质性响应</w:t>
            </w:r>
          </w:p>
        </w:tc>
        <w:tc>
          <w:tcPr>
            <w:tcW w:w="4330" w:type="dxa"/>
            <w:vAlign w:val="center"/>
          </w:tcPr>
          <w:p>
            <w:pPr>
              <w:spacing w:line="360" w:lineRule="auto"/>
              <w:ind w:firstLine="460" w:firstLineChars="200"/>
              <w:rPr>
                <w:rFonts w:ascii="宋体" w:hAnsi="宋体"/>
                <w:sz w:val="23"/>
                <w:szCs w:val="23"/>
                <w:highlight w:val="white"/>
              </w:rPr>
            </w:pPr>
            <w:r>
              <w:rPr>
                <w:rFonts w:hint="eastAsia" w:ascii="宋体" w:hAnsi="宋体"/>
                <w:sz w:val="23"/>
                <w:szCs w:val="23"/>
                <w:highlight w:val="white"/>
              </w:rPr>
              <w:t>不符合磋商文件的要求</w:t>
            </w:r>
          </w:p>
        </w:tc>
      </w:tr>
    </w:tbl>
    <w:p>
      <w:pPr>
        <w:spacing w:line="360" w:lineRule="auto"/>
        <w:ind w:firstLine="480" w:firstLineChars="200"/>
        <w:rPr>
          <w:rFonts w:ascii="宋体" w:hAnsi="宋体"/>
          <w:sz w:val="24"/>
          <w:highlight w:val="white"/>
        </w:rPr>
      </w:pPr>
    </w:p>
    <w:p>
      <w:pPr>
        <w:spacing w:line="360" w:lineRule="auto"/>
        <w:ind w:firstLine="480" w:firstLineChars="200"/>
        <w:rPr>
          <w:rFonts w:ascii="宋体" w:hAnsi="宋体"/>
          <w:sz w:val="24"/>
          <w:highlight w:val="white"/>
        </w:rPr>
      </w:pPr>
      <w:r>
        <w:rPr>
          <w:rFonts w:hint="eastAsia" w:ascii="宋体" w:hAnsi="宋体"/>
          <w:sz w:val="24"/>
          <w:highlight w:val="white"/>
        </w:rPr>
        <w:t>5、磋商小组对通过以上审查的响应文件进行评估，确定与各供应商磋商的具体内容。</w:t>
      </w:r>
    </w:p>
    <w:p>
      <w:pPr>
        <w:spacing w:line="360" w:lineRule="auto"/>
        <w:ind w:firstLine="480" w:firstLineChars="200"/>
        <w:rPr>
          <w:rFonts w:ascii="宋体" w:hAnsi="宋体"/>
          <w:sz w:val="24"/>
          <w:highlight w:val="white"/>
        </w:rPr>
      </w:pPr>
      <w:r>
        <w:rPr>
          <w:rFonts w:hint="eastAsia" w:ascii="宋体" w:hAnsi="宋体"/>
          <w:sz w:val="24"/>
          <w:highlight w:val="white"/>
        </w:rPr>
        <w:t>6、逐一磋商</w:t>
      </w:r>
    </w:p>
    <w:p>
      <w:pPr>
        <w:spacing w:line="360" w:lineRule="auto"/>
        <w:ind w:firstLine="480" w:firstLineChars="200"/>
        <w:rPr>
          <w:rFonts w:ascii="宋体" w:hAnsi="宋体"/>
          <w:sz w:val="24"/>
          <w:highlight w:val="white"/>
        </w:rPr>
      </w:pPr>
      <w:r>
        <w:rPr>
          <w:rFonts w:hint="eastAsia" w:ascii="宋体" w:hAnsi="宋体"/>
          <w:sz w:val="24"/>
          <w:highlight w:val="white"/>
        </w:rPr>
        <w:t>围绕磋商要点，磋商小组全体成员按照各供应商签到顺序集中与单一供应商分别进行磋商，逐家磋商一次为一个轮次，磋商轮次由磋商小组视情况确定。</w:t>
      </w:r>
    </w:p>
    <w:p>
      <w:pPr>
        <w:spacing w:line="360" w:lineRule="auto"/>
        <w:ind w:firstLine="480" w:firstLineChars="200"/>
        <w:rPr>
          <w:rFonts w:ascii="宋体" w:hAnsi="宋体"/>
          <w:sz w:val="24"/>
          <w:highlight w:val="white"/>
        </w:rPr>
      </w:pPr>
      <w:r>
        <w:rPr>
          <w:rFonts w:hint="eastAsia" w:ascii="宋体" w:hAnsi="宋体" w:cs="宋体"/>
          <w:sz w:val="24"/>
        </w:rPr>
        <w:t>在磋商内容不做实质性变更及重大调整的前提下，供应商下轮报价不得高于上一轮报价。</w:t>
      </w:r>
    </w:p>
    <w:p>
      <w:pPr>
        <w:spacing w:line="360" w:lineRule="auto"/>
        <w:ind w:firstLine="480" w:firstLineChars="200"/>
        <w:rPr>
          <w:rFonts w:ascii="宋体" w:hAnsi="宋体"/>
          <w:sz w:val="24"/>
          <w:highlight w:val="white"/>
        </w:rPr>
      </w:pPr>
      <w:r>
        <w:rPr>
          <w:rFonts w:hint="eastAsia" w:ascii="宋体" w:hAnsi="宋体"/>
          <w:sz w:val="24"/>
          <w:highlight w:val="white"/>
        </w:rPr>
        <w:t>7、实质性变动</w:t>
      </w:r>
    </w:p>
    <w:p>
      <w:pPr>
        <w:spacing w:line="360" w:lineRule="auto"/>
        <w:ind w:firstLine="480" w:firstLineChars="200"/>
        <w:rPr>
          <w:rFonts w:ascii="宋体" w:hAnsi="宋体"/>
          <w:sz w:val="24"/>
          <w:highlight w:val="white"/>
        </w:rPr>
      </w:pPr>
      <w:r>
        <w:rPr>
          <w:rFonts w:hint="eastAsia" w:ascii="宋体" w:hAnsi="宋体"/>
          <w:sz w:val="24"/>
          <w:highlight w:val="white"/>
        </w:rPr>
        <w:t>磋商过程中，磋商小组可以根据磋商文件和磋商情况实质性变动采购需求中的技术、服务要求以及合同草案条款，但不得变动磋商文件中的其他内容。实质性变动的内容，须经采购人代表确认，并以书面形式同时通知所有参加磋商的供应商。该变动是磋商文件的有效组成部分。</w:t>
      </w:r>
    </w:p>
    <w:p>
      <w:pPr>
        <w:spacing w:line="360" w:lineRule="auto"/>
        <w:ind w:firstLine="480" w:firstLineChars="200"/>
        <w:rPr>
          <w:rFonts w:ascii="宋体" w:hAnsi="宋体"/>
          <w:sz w:val="24"/>
          <w:highlight w:val="white"/>
        </w:rPr>
      </w:pPr>
      <w:r>
        <w:rPr>
          <w:rFonts w:hint="eastAsia" w:ascii="宋体" w:hAnsi="宋体"/>
          <w:sz w:val="24"/>
          <w:highlight w:val="white"/>
        </w:rPr>
        <w:t>磋商供应商按照磋商文件的变动情况和磋商小组的要求，在规定的时间内以书面形式作出响应，并由其法定代表人或授权代表签字或者加盖公章。</w:t>
      </w:r>
    </w:p>
    <w:p>
      <w:pPr>
        <w:spacing w:line="360" w:lineRule="auto"/>
        <w:ind w:firstLine="480" w:firstLineChars="200"/>
        <w:rPr>
          <w:rFonts w:ascii="宋体" w:hAnsi="宋体"/>
          <w:sz w:val="24"/>
          <w:highlight w:val="white"/>
        </w:rPr>
      </w:pPr>
      <w:r>
        <w:rPr>
          <w:rFonts w:hint="eastAsia" w:ascii="宋体" w:hAnsi="宋体"/>
          <w:sz w:val="24"/>
          <w:highlight w:val="white"/>
        </w:rPr>
        <w:t>未按要求作出响应的响应文件，将视为无效投标。</w:t>
      </w:r>
    </w:p>
    <w:p>
      <w:pPr>
        <w:spacing w:line="360" w:lineRule="auto"/>
        <w:ind w:firstLine="480" w:firstLineChars="200"/>
        <w:rPr>
          <w:rFonts w:ascii="宋体" w:hAnsi="宋体"/>
          <w:sz w:val="24"/>
          <w:highlight w:val="white"/>
        </w:rPr>
      </w:pPr>
      <w:r>
        <w:rPr>
          <w:rFonts w:hint="eastAsia" w:ascii="宋体" w:hAnsi="宋体"/>
          <w:sz w:val="24"/>
          <w:highlight w:val="white"/>
        </w:rPr>
        <w:t>8、最后报价</w:t>
      </w:r>
    </w:p>
    <w:p>
      <w:pPr>
        <w:spacing w:line="360" w:lineRule="auto"/>
        <w:ind w:firstLine="480" w:firstLineChars="200"/>
        <w:rPr>
          <w:rFonts w:ascii="宋体" w:hAnsi="宋体"/>
          <w:sz w:val="24"/>
          <w:highlight w:val="white"/>
        </w:rPr>
      </w:pPr>
      <w:r>
        <w:rPr>
          <w:rFonts w:hint="eastAsia" w:ascii="宋体" w:hAnsi="宋体"/>
          <w:sz w:val="24"/>
          <w:highlight w:val="white"/>
        </w:rPr>
        <w:t>磋商结束后，磋商小组将要求实质性响应磋商文件的磋商供应商在规定时间内提交最后报价。在规定的时间内，没有提交最后报价的磋商供应商，视为退出磋商。未通过实质性响应的磋商供应商将不再进行最后报价。</w:t>
      </w:r>
    </w:p>
    <w:p>
      <w:pPr>
        <w:spacing w:line="360" w:lineRule="auto"/>
        <w:ind w:firstLine="480" w:firstLineChars="200"/>
        <w:rPr>
          <w:rFonts w:ascii="宋体" w:hAnsi="宋体"/>
          <w:sz w:val="24"/>
          <w:highlight w:val="white"/>
        </w:rPr>
      </w:pPr>
      <w:r>
        <w:rPr>
          <w:rFonts w:hint="eastAsia" w:ascii="宋体" w:hAnsi="宋体"/>
          <w:sz w:val="24"/>
          <w:highlight w:val="white"/>
        </w:rPr>
        <w:t>已提交响应文件的供应商，在提交最后报价之前，可以根据磋商情况退出磋商。其磋商保证金与未列为成交供应商的磋商保证金一同退还。</w:t>
      </w:r>
    </w:p>
    <w:p>
      <w:pPr>
        <w:spacing w:line="360" w:lineRule="auto"/>
        <w:ind w:firstLine="480" w:firstLineChars="200"/>
        <w:rPr>
          <w:rFonts w:ascii="宋体" w:hAnsi="宋体"/>
          <w:sz w:val="24"/>
          <w:highlight w:val="white"/>
        </w:rPr>
      </w:pPr>
      <w:r>
        <w:rPr>
          <w:rFonts w:hint="eastAsia" w:ascii="宋体" w:hAnsi="宋体"/>
          <w:sz w:val="24"/>
          <w:highlight w:val="white"/>
        </w:rPr>
        <w:t>经磋商确定最终采购需求和提交最后报价的供应商后，由磋商小组采用综合评分法对提交最后报价的供应商的响应文件和最后报价进行综合评分。</w:t>
      </w:r>
    </w:p>
    <w:p>
      <w:pPr>
        <w:spacing w:line="360" w:lineRule="auto"/>
        <w:rPr>
          <w:rFonts w:ascii="宋体" w:hAnsi="宋体" w:cs="宋体"/>
          <w:b/>
          <w:sz w:val="28"/>
          <w:szCs w:val="28"/>
        </w:rPr>
      </w:pPr>
      <w:r>
        <w:rPr>
          <w:rFonts w:hint="eastAsia" w:ascii="宋体" w:hAnsi="宋体" w:cs="宋体"/>
          <w:b/>
          <w:sz w:val="28"/>
          <w:szCs w:val="28"/>
        </w:rPr>
        <w:t>二、评审方法和标准</w:t>
      </w:r>
    </w:p>
    <w:p>
      <w:pPr>
        <w:spacing w:line="360" w:lineRule="auto"/>
        <w:ind w:firstLine="281" w:firstLineChars="100"/>
        <w:rPr>
          <w:rFonts w:ascii="宋体" w:hAnsi="宋体" w:cs="宋体"/>
          <w:b/>
          <w:sz w:val="28"/>
          <w:szCs w:val="28"/>
        </w:rPr>
      </w:pPr>
      <w:r>
        <w:rPr>
          <w:rFonts w:hint="eastAsia" w:ascii="宋体" w:hAnsi="宋体" w:cs="宋体"/>
          <w:b/>
          <w:sz w:val="28"/>
          <w:szCs w:val="28"/>
        </w:rPr>
        <w:t>（一）评审方法</w:t>
      </w:r>
    </w:p>
    <w:p>
      <w:pPr>
        <w:spacing w:line="360" w:lineRule="auto"/>
        <w:ind w:firstLine="480" w:firstLineChars="200"/>
        <w:rPr>
          <w:rFonts w:ascii="宋体" w:hAnsi="宋体"/>
          <w:sz w:val="24"/>
          <w:highlight w:val="white"/>
        </w:rPr>
      </w:pPr>
      <w:r>
        <w:rPr>
          <w:rFonts w:hint="eastAsia" w:ascii="宋体" w:hAnsi="宋体"/>
          <w:sz w:val="24"/>
          <w:highlight w:val="white"/>
        </w:rPr>
        <w:t>1、本项目采用综合评分法，总分100分。综合评分法是指响应文件满足竞争性磋商文件全部实质性要求且按评审因素的量化指标评审得分最高的供应商为成交候选供应商的方法。</w:t>
      </w:r>
    </w:p>
    <w:p>
      <w:pPr>
        <w:spacing w:line="360" w:lineRule="auto"/>
        <w:ind w:firstLine="480" w:firstLineChars="200"/>
        <w:rPr>
          <w:rFonts w:ascii="宋体" w:hAnsi="宋体"/>
          <w:sz w:val="24"/>
          <w:highlight w:val="white"/>
        </w:rPr>
      </w:pPr>
      <w:r>
        <w:rPr>
          <w:rFonts w:hint="eastAsia" w:ascii="宋体" w:hAnsi="宋体" w:cs="宋体"/>
          <w:sz w:val="24"/>
        </w:rPr>
        <w:t>2、磋商小组按照磋商文件的要求和条件，根据各磋商供应商的技术、商务、价格、对磋商文件的响应程度等进行综合评价、评分，将评审总得分按照从高到低的顺序排列，并依此顺序推荐</w:t>
      </w:r>
      <w:r>
        <w:rPr>
          <w:rFonts w:ascii="宋体" w:hAnsi="宋体" w:cs="宋体"/>
          <w:sz w:val="24"/>
        </w:rPr>
        <w:t>1-3</w:t>
      </w:r>
      <w:r>
        <w:rPr>
          <w:rFonts w:hint="eastAsia" w:ascii="宋体" w:hAnsi="宋体" w:cs="宋体"/>
          <w:sz w:val="24"/>
        </w:rPr>
        <w:t>名成交候选供应商。排名第一的为首选成交候选人，依次类推第二、第三成交候选人。</w:t>
      </w:r>
    </w:p>
    <w:p>
      <w:pPr>
        <w:spacing w:line="360" w:lineRule="auto"/>
        <w:ind w:firstLine="480" w:firstLineChars="200"/>
        <w:rPr>
          <w:rFonts w:ascii="宋体" w:hAnsi="宋体"/>
          <w:sz w:val="24"/>
          <w:highlight w:val="white"/>
        </w:rPr>
      </w:pPr>
      <w:r>
        <w:rPr>
          <w:rFonts w:hint="eastAsia" w:ascii="宋体" w:hAnsi="宋体"/>
          <w:sz w:val="24"/>
          <w:highlight w:val="white"/>
        </w:rPr>
        <w:t>3、例外情况</w:t>
      </w:r>
    </w:p>
    <w:p>
      <w:pPr>
        <w:spacing w:line="360" w:lineRule="auto"/>
        <w:ind w:firstLine="480" w:firstLineChars="200"/>
        <w:rPr>
          <w:rFonts w:ascii="宋体" w:hAnsi="宋体"/>
          <w:sz w:val="24"/>
          <w:highlight w:val="white"/>
        </w:rPr>
      </w:pPr>
      <w:r>
        <w:rPr>
          <w:rFonts w:hint="eastAsia" w:ascii="宋体" w:hAnsi="宋体" w:cs="宋体"/>
          <w:sz w:val="24"/>
        </w:rPr>
        <w:t>（1）</w:t>
      </w:r>
      <w:r>
        <w:rPr>
          <w:rFonts w:hint="eastAsia" w:ascii="宋体" w:hAnsi="宋体"/>
          <w:sz w:val="24"/>
          <w:highlight w:val="white"/>
        </w:rPr>
        <w:t>评审总得分相同的，按最后报价由低到高的顺序排序；评审总得分及最后报价均相同的，按技术部分得分由高到低排序；依然相同的，由磋商小组现场抽签确定顺序。</w:t>
      </w:r>
    </w:p>
    <w:p>
      <w:pPr>
        <w:spacing w:line="360" w:lineRule="auto"/>
        <w:ind w:firstLine="480" w:firstLineChars="200"/>
        <w:rPr>
          <w:rFonts w:ascii="宋体" w:hAnsi="宋体"/>
          <w:sz w:val="24"/>
          <w:highlight w:val="white"/>
        </w:rPr>
      </w:pPr>
      <w:r>
        <w:rPr>
          <w:rFonts w:hint="eastAsia" w:ascii="宋体" w:hAnsi="宋体" w:cs="宋体"/>
          <w:sz w:val="24"/>
        </w:rPr>
        <w:t>（2）磋商文件条款存在含义不清或者相互矛盾的，磋商小组应当针对相应条款作出有利于相应供应商的结论。</w:t>
      </w:r>
    </w:p>
    <w:p>
      <w:pPr>
        <w:numPr>
          <w:ilvl w:val="0"/>
          <w:numId w:val="2"/>
        </w:numPr>
        <w:spacing w:line="360" w:lineRule="auto"/>
        <w:ind w:firstLine="562" w:firstLineChars="200"/>
        <w:rPr>
          <w:rFonts w:ascii="宋体" w:hAnsi="宋体" w:cs="宋体"/>
          <w:b/>
          <w:sz w:val="28"/>
          <w:szCs w:val="28"/>
        </w:rPr>
      </w:pPr>
      <w:r>
        <w:rPr>
          <w:rFonts w:hint="eastAsia" w:ascii="宋体" w:hAnsi="宋体" w:cs="宋体"/>
          <w:b/>
          <w:sz w:val="28"/>
          <w:szCs w:val="28"/>
        </w:rPr>
        <w:t>评审标准及方法</w:t>
      </w:r>
    </w:p>
    <w:p>
      <w:pPr>
        <w:spacing w:line="360" w:lineRule="auto"/>
        <w:ind w:firstLine="480" w:firstLineChars="200"/>
        <w:rPr>
          <w:rFonts w:ascii="宋体" w:hAnsi="宋体"/>
          <w:sz w:val="24"/>
        </w:rPr>
      </w:pPr>
      <w:r>
        <w:rPr>
          <w:rFonts w:hint="eastAsia" w:ascii="宋体" w:hAnsi="宋体"/>
          <w:sz w:val="24"/>
          <w:highlight w:val="white"/>
        </w:rPr>
        <w:t>2.1商务标（</w:t>
      </w:r>
      <w:r>
        <w:rPr>
          <w:rFonts w:hint="eastAsia" w:ascii="宋体" w:hAnsi="宋体"/>
          <w:b/>
          <w:sz w:val="24"/>
          <w:highlight w:val="white"/>
        </w:rPr>
        <w:t>3</w:t>
      </w:r>
      <w:r>
        <w:rPr>
          <w:rFonts w:ascii="宋体" w:hAnsi="宋体"/>
          <w:b/>
          <w:sz w:val="24"/>
          <w:highlight w:val="white"/>
        </w:rPr>
        <w:t>5</w:t>
      </w:r>
      <w:r>
        <w:rPr>
          <w:rFonts w:hint="eastAsia" w:ascii="宋体" w:hAnsi="宋体"/>
          <w:sz w:val="24"/>
          <w:highlight w:val="white"/>
        </w:rPr>
        <w:t>分）</w:t>
      </w:r>
    </w:p>
    <w:p>
      <w:pPr>
        <w:spacing w:line="360" w:lineRule="auto"/>
        <w:ind w:firstLine="480" w:firstLineChars="200"/>
        <w:rPr>
          <w:rFonts w:ascii="宋体" w:hAnsi="宋体"/>
          <w:sz w:val="24"/>
        </w:rPr>
      </w:pPr>
      <w:r>
        <w:rPr>
          <w:rFonts w:hint="eastAsia" w:ascii="宋体" w:hAnsi="宋体"/>
          <w:sz w:val="24"/>
          <w:highlight w:val="white"/>
        </w:rPr>
        <w:t>2.2技术标（</w:t>
      </w:r>
      <w:r>
        <w:rPr>
          <w:rFonts w:ascii="宋体" w:hAnsi="宋体"/>
          <w:b/>
          <w:bCs/>
          <w:sz w:val="24"/>
          <w:highlight w:val="white"/>
        </w:rPr>
        <w:t>65</w:t>
      </w:r>
      <w:r>
        <w:rPr>
          <w:rFonts w:hint="eastAsia" w:ascii="宋体" w:hAnsi="宋体"/>
          <w:sz w:val="24"/>
          <w:highlight w:val="white"/>
        </w:rPr>
        <w:t>分）</w:t>
      </w:r>
    </w:p>
    <w:p>
      <w:pPr>
        <w:spacing w:line="360" w:lineRule="auto"/>
        <w:ind w:firstLine="482" w:firstLineChars="200"/>
        <w:rPr>
          <w:rFonts w:ascii="宋体" w:hAnsi="宋体"/>
          <w:b/>
          <w:sz w:val="24"/>
        </w:rPr>
      </w:pPr>
      <w:r>
        <w:rPr>
          <w:rFonts w:hint="eastAsia" w:ascii="宋体" w:hAnsi="宋体"/>
          <w:b/>
          <w:sz w:val="24"/>
          <w:highlight w:val="white"/>
        </w:rPr>
        <w:t>3、评审内容（数值计算结果均保留两位小数，第三位四舍五入）</w:t>
      </w:r>
    </w:p>
    <w:p>
      <w:pPr>
        <w:spacing w:line="360" w:lineRule="auto"/>
        <w:ind w:firstLine="480" w:firstLineChars="200"/>
        <w:rPr>
          <w:rFonts w:ascii="宋体" w:hAnsi="宋体"/>
          <w:sz w:val="24"/>
        </w:rPr>
      </w:pPr>
      <w:r>
        <w:rPr>
          <w:rFonts w:hint="eastAsia" w:ascii="宋体" w:hAnsi="宋体"/>
          <w:sz w:val="24"/>
          <w:highlight w:val="white"/>
        </w:rPr>
        <w:t>3.1商务标评审内容及标准（3</w:t>
      </w:r>
      <w:r>
        <w:rPr>
          <w:rFonts w:ascii="宋体" w:hAnsi="宋体"/>
          <w:sz w:val="24"/>
          <w:highlight w:val="white"/>
        </w:rPr>
        <w:t>5</w:t>
      </w:r>
      <w:r>
        <w:rPr>
          <w:rFonts w:hint="eastAsia" w:ascii="宋体" w:hAnsi="宋体"/>
          <w:sz w:val="24"/>
          <w:highlight w:val="white"/>
        </w:rPr>
        <w:t>分）</w:t>
      </w:r>
    </w:p>
    <w:tbl>
      <w:tblPr>
        <w:tblStyle w:val="2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2240"/>
        <w:gridCol w:w="915"/>
        <w:gridCol w:w="63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kern w:val="0"/>
                <w:sz w:val="24"/>
              </w:rPr>
            </w:pPr>
            <w:r>
              <w:rPr>
                <w:rFonts w:hint="eastAsia" w:ascii="宋体" w:hAnsi="宋体"/>
                <w:kern w:val="0"/>
                <w:sz w:val="24"/>
              </w:rPr>
              <w:t>评审项目</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kern w:val="0"/>
                <w:sz w:val="24"/>
              </w:rPr>
            </w:pPr>
            <w:r>
              <w:rPr>
                <w:rFonts w:hint="eastAsia" w:ascii="宋体" w:hAnsi="宋体"/>
                <w:kern w:val="0"/>
                <w:sz w:val="24"/>
              </w:rPr>
              <w:t>分值</w:t>
            </w:r>
          </w:p>
        </w:tc>
        <w:tc>
          <w:tcPr>
            <w:tcW w:w="6386"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kern w:val="0"/>
                <w:sz w:val="24"/>
              </w:rPr>
            </w:pPr>
            <w:r>
              <w:rPr>
                <w:rFonts w:hint="eastAsia" w:ascii="宋体" w:hAnsi="宋体"/>
                <w:kern w:val="0"/>
                <w:sz w:val="24"/>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kern w:val="0"/>
                <w:sz w:val="24"/>
              </w:rPr>
            </w:pPr>
            <w:r>
              <w:rPr>
                <w:rFonts w:hint="eastAsia" w:ascii="宋体" w:hAnsi="宋体"/>
                <w:kern w:val="0"/>
                <w:sz w:val="24"/>
              </w:rPr>
              <w:t>最后报价</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kern w:val="0"/>
                <w:sz w:val="24"/>
              </w:rPr>
            </w:pPr>
            <w:r>
              <w:rPr>
                <w:rFonts w:hint="eastAsia" w:ascii="宋体" w:hAnsi="宋体"/>
                <w:kern w:val="0"/>
                <w:sz w:val="24"/>
              </w:rPr>
              <w:t>10</w:t>
            </w:r>
          </w:p>
        </w:tc>
        <w:tc>
          <w:tcPr>
            <w:tcW w:w="638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kern w:val="0"/>
                <w:sz w:val="24"/>
              </w:rPr>
            </w:pPr>
            <w:r>
              <w:rPr>
                <w:rFonts w:hint="eastAsia" w:ascii="宋体" w:hAnsi="宋体"/>
                <w:kern w:val="0"/>
                <w:sz w:val="24"/>
              </w:rPr>
              <w:t>本项评审步骤：1、</w:t>
            </w:r>
            <w:r>
              <w:rPr>
                <w:rFonts w:hint="eastAsia" w:ascii="宋体" w:hAnsi="宋体"/>
                <w:sz w:val="24"/>
                <w:highlight w:val="white"/>
              </w:rPr>
              <w:t>磋商小组</w:t>
            </w:r>
            <w:r>
              <w:rPr>
                <w:rFonts w:hint="eastAsia" w:ascii="宋体" w:hAnsi="宋体"/>
                <w:kern w:val="0"/>
                <w:sz w:val="24"/>
              </w:rPr>
              <w:t>对所有实质性响应磋商文件要求的投标报价进行核查。如磋商供应商对磋商文件的内容，特别是对采购范围或服务需求的理解发生误差，有子项漏报的（即该投标报价为漏项报价），经</w:t>
            </w:r>
            <w:r>
              <w:rPr>
                <w:rFonts w:hint="eastAsia" w:ascii="宋体" w:hAnsi="宋体"/>
                <w:sz w:val="24"/>
                <w:highlight w:val="white"/>
              </w:rPr>
              <w:t>磋商小组</w:t>
            </w:r>
            <w:r>
              <w:rPr>
                <w:rFonts w:hint="eastAsia" w:ascii="宋体" w:hAnsi="宋体"/>
                <w:kern w:val="0"/>
                <w:sz w:val="24"/>
              </w:rPr>
              <w:t>评审，按漏项子项和相关标准（有规定标准的按规定标准，无规定标准的按相应的本次磋商中最高的单价报价）计算出该磋商供应商的投标调整价； 2、</w:t>
            </w:r>
            <w:r>
              <w:rPr>
                <w:rFonts w:hint="eastAsia" w:ascii="宋体" w:hAnsi="宋体"/>
                <w:sz w:val="24"/>
                <w:highlight w:val="white"/>
              </w:rPr>
              <w:t>磋商小组</w:t>
            </w:r>
            <w:r>
              <w:rPr>
                <w:rFonts w:hint="eastAsia" w:ascii="宋体" w:hAnsi="宋体"/>
                <w:kern w:val="0"/>
                <w:sz w:val="24"/>
              </w:rPr>
              <w:t>价格调整完成并对各磋商供应商的投标报价有效性核查后，有效投标报价（如有漏项报价，则为投标调整价）中最低的为评审基准价，得10分。其他磋商供应商的投标报价得分统一按下列公式计算：投标报价得分=（评审基准价/最后报价）*10； 3、有漏项报价的磋商供应商，在按上述公式计算出其投标报价得分基础上，其漏项报价每低于投标调整价1%，再扣1分，得出该磋商供应商的投标报价最终得分。若其最终中标，则中标价格为其投标报价，磋商供应商应无异议，否则视该投标为无效投标。注：1、上述最低投标报价如有漏项报价，则为投标调整价。 2、上述报价是指供应商最后报价。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kern w:val="0"/>
                <w:sz w:val="24"/>
              </w:rPr>
            </w:pPr>
            <w:r>
              <w:rPr>
                <w:rFonts w:hint="eastAsia" w:ascii="宋体" w:hAnsi="宋体"/>
                <w:kern w:val="0"/>
                <w:sz w:val="24"/>
                <w:highlight w:val="none"/>
              </w:rPr>
              <w:t>供应商业绩</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kern w:val="0"/>
                <w:sz w:val="24"/>
                <w:highlight w:val="none"/>
              </w:rPr>
            </w:pPr>
            <w:r>
              <w:rPr>
                <w:rFonts w:hint="eastAsia" w:ascii="宋体" w:hAnsi="宋体"/>
                <w:kern w:val="0"/>
                <w:sz w:val="24"/>
                <w:highlight w:val="none"/>
              </w:rPr>
              <w:t xml:space="preserve"> </w:t>
            </w:r>
            <w:r>
              <w:rPr>
                <w:rFonts w:ascii="宋体" w:hAnsi="宋体"/>
                <w:kern w:val="0"/>
                <w:sz w:val="24"/>
                <w:highlight w:val="none"/>
              </w:rPr>
              <w:t>12</w:t>
            </w:r>
          </w:p>
        </w:tc>
        <w:tc>
          <w:tcPr>
            <w:tcW w:w="6386" w:type="dxa"/>
            <w:tcBorders>
              <w:top w:val="outset" w:color="auto" w:sz="6" w:space="0"/>
              <w:left w:val="outset" w:color="auto" w:sz="6" w:space="0"/>
              <w:bottom w:val="outset" w:color="auto" w:sz="6" w:space="0"/>
              <w:right w:val="outset" w:color="auto" w:sz="6" w:space="0"/>
            </w:tcBorders>
            <w:noWrap/>
            <w:vAlign w:val="center"/>
          </w:tcPr>
          <w:p>
            <w:pPr>
              <w:rPr>
                <w:rFonts w:ascii="宋体" w:hAnsi="宋体"/>
                <w:kern w:val="0"/>
                <w:sz w:val="24"/>
                <w:highlight w:val="none"/>
              </w:rPr>
            </w:pPr>
            <w:r>
              <w:rPr>
                <w:rFonts w:hint="eastAsia" w:ascii="宋体" w:hAnsi="宋体"/>
                <w:kern w:val="0"/>
                <w:sz w:val="24"/>
                <w:highlight w:val="none"/>
                <w:lang w:eastAsia="zh-CN"/>
              </w:rPr>
              <w:t>合同</w:t>
            </w:r>
            <w:r>
              <w:rPr>
                <w:rFonts w:hint="eastAsia" w:ascii="宋体" w:hAnsi="宋体"/>
                <w:kern w:val="0"/>
                <w:sz w:val="24"/>
                <w:highlight w:val="none"/>
              </w:rPr>
              <w:t>签订时间应自磋商时间起上推五年内，承担过区县级旅游风景道或风景廊道（策划或规划）项目的，有一项加2分；承担过市级及以上旅游风景道或风景廊道（策划或规划）项目的，有一项加3分；加满</w:t>
            </w:r>
            <w:r>
              <w:rPr>
                <w:rFonts w:ascii="宋体" w:hAnsi="宋体"/>
                <w:kern w:val="0"/>
                <w:sz w:val="24"/>
                <w:highlight w:val="none"/>
              </w:rPr>
              <w:t>12</w:t>
            </w:r>
            <w:r>
              <w:rPr>
                <w:rFonts w:hint="eastAsia" w:ascii="宋体" w:hAnsi="宋体"/>
                <w:kern w:val="0"/>
                <w:sz w:val="24"/>
                <w:highlight w:val="none"/>
              </w:rPr>
              <w:t>分为止。（响应文件中须提供销售合同，签订时间以销售合同为准，复印件或扫描件应能辨识买卖双方公章、签订时间；否则，不得分。）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kern w:val="0"/>
                <w:sz w:val="24"/>
              </w:rPr>
            </w:pPr>
            <w:r>
              <w:rPr>
                <w:rFonts w:hint="eastAsia" w:ascii="宋体" w:hAnsi="宋体"/>
                <w:kern w:val="0"/>
                <w:sz w:val="24"/>
              </w:rPr>
              <w:t>供应商实力</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kern w:val="0"/>
                <w:sz w:val="24"/>
                <w:highlight w:val="none"/>
              </w:rPr>
            </w:pPr>
            <w:r>
              <w:rPr>
                <w:rFonts w:ascii="宋体" w:hAnsi="宋体"/>
                <w:kern w:val="0"/>
                <w:sz w:val="24"/>
                <w:highlight w:val="none"/>
              </w:rPr>
              <w:t>9</w:t>
            </w:r>
          </w:p>
        </w:tc>
        <w:tc>
          <w:tcPr>
            <w:tcW w:w="6386" w:type="dxa"/>
            <w:tcBorders>
              <w:top w:val="outset" w:color="auto" w:sz="6" w:space="0"/>
              <w:left w:val="outset" w:color="auto" w:sz="6" w:space="0"/>
              <w:bottom w:val="outset" w:color="auto" w:sz="6" w:space="0"/>
              <w:right w:val="outset" w:color="auto" w:sz="6" w:space="0"/>
            </w:tcBorders>
            <w:noWrap/>
            <w:vAlign w:val="center"/>
          </w:tcPr>
          <w:p>
            <w:pPr>
              <w:rPr>
                <w:highlight w:val="none"/>
              </w:rPr>
            </w:pPr>
            <w:r>
              <w:rPr>
                <w:rFonts w:hint="eastAsia" w:ascii="宋体" w:hAnsi="宋体"/>
                <w:kern w:val="0"/>
                <w:sz w:val="24"/>
                <w:highlight w:val="none"/>
              </w:rPr>
              <w:t>供应商旅游科研成果获</w:t>
            </w:r>
            <w:r>
              <w:rPr>
                <w:rFonts w:hint="eastAsia" w:ascii="宋体" w:hAnsi="宋体"/>
                <w:kern w:val="0"/>
                <w:sz w:val="24"/>
                <w:highlight w:val="none"/>
                <w:lang w:eastAsia="zh-CN"/>
              </w:rPr>
              <w:t>国家文化和旅游部（原</w:t>
            </w:r>
            <w:r>
              <w:rPr>
                <w:rFonts w:hint="eastAsia" w:ascii="宋体" w:hAnsi="宋体"/>
                <w:kern w:val="0"/>
                <w:sz w:val="24"/>
                <w:highlight w:val="none"/>
              </w:rPr>
              <w:t>国家旅游局</w:t>
            </w:r>
            <w:r>
              <w:rPr>
                <w:rFonts w:hint="eastAsia" w:ascii="宋体" w:hAnsi="宋体"/>
                <w:kern w:val="0"/>
                <w:sz w:val="24"/>
                <w:highlight w:val="none"/>
                <w:lang w:eastAsia="zh-CN"/>
              </w:rPr>
              <w:t>）</w:t>
            </w:r>
            <w:r>
              <w:rPr>
                <w:rFonts w:hint="eastAsia" w:ascii="宋体" w:hAnsi="宋体"/>
                <w:kern w:val="0"/>
                <w:sz w:val="24"/>
                <w:highlight w:val="none"/>
              </w:rPr>
              <w:t>优秀研究成果奖的，奖项级别分一等奖、二等奖、三等奖和优秀奖共4个级别，其中一等奖，得4分；二等奖，得3分；三等奖，得2分；优秀奖，得1分；加满</w:t>
            </w:r>
            <w:r>
              <w:rPr>
                <w:rFonts w:ascii="宋体" w:hAnsi="宋体"/>
                <w:kern w:val="0"/>
                <w:sz w:val="24"/>
                <w:highlight w:val="none"/>
              </w:rPr>
              <w:t>9</w:t>
            </w:r>
            <w:r>
              <w:rPr>
                <w:rFonts w:hint="eastAsia" w:ascii="宋体" w:hAnsi="宋体"/>
                <w:kern w:val="0"/>
                <w:sz w:val="24"/>
                <w:highlight w:val="none"/>
              </w:rPr>
              <w:t>分为止。（磋商响应文件中须提供奖项证书复印件或扫描件，复印件或扫描件应能辨识奖项级别、颁发单位，否则，不得分。）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kern w:val="0"/>
                <w:sz w:val="24"/>
              </w:rPr>
            </w:pPr>
            <w:r>
              <w:rPr>
                <w:rFonts w:hint="eastAsia" w:ascii="宋体" w:hAnsi="宋体"/>
                <w:kern w:val="0"/>
                <w:sz w:val="24"/>
              </w:rPr>
              <w:t>拟派项目负责人实力</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kern w:val="0"/>
                <w:sz w:val="24"/>
              </w:rPr>
            </w:pPr>
            <w:r>
              <w:rPr>
                <w:rFonts w:hint="eastAsia" w:ascii="宋体" w:hAnsi="宋体"/>
                <w:kern w:val="0"/>
                <w:sz w:val="24"/>
              </w:rPr>
              <w:t>4</w:t>
            </w:r>
          </w:p>
        </w:tc>
        <w:tc>
          <w:tcPr>
            <w:tcW w:w="6386" w:type="dxa"/>
            <w:tcBorders>
              <w:top w:val="outset" w:color="auto" w:sz="6" w:space="0"/>
              <w:left w:val="outset" w:color="auto" w:sz="6" w:space="0"/>
              <w:bottom w:val="outset" w:color="auto" w:sz="6" w:space="0"/>
              <w:right w:val="outset" w:color="auto" w:sz="6" w:space="0"/>
            </w:tcBorders>
            <w:noWrap/>
            <w:vAlign w:val="center"/>
          </w:tcPr>
          <w:p>
            <w:pPr>
              <w:rPr>
                <w:rFonts w:ascii="宋体" w:hAnsi="宋体"/>
                <w:kern w:val="0"/>
                <w:sz w:val="24"/>
                <w:highlight w:val="none"/>
              </w:rPr>
            </w:pPr>
            <w:r>
              <w:rPr>
                <w:rFonts w:hint="eastAsia" w:ascii="宋体" w:hAnsi="宋体"/>
                <w:kern w:val="0"/>
                <w:sz w:val="24"/>
                <w:highlight w:val="none"/>
              </w:rPr>
              <w:t>拟派本项目负责人具备正高级职称，得4分；具备副高级职称，得2分，本项满分4分。（响应文件中提供拟项目负责人职称证书复印件或扫描件，同时提供自磋商时间起近六个月本单位社保证明，否则不得分。）</w:t>
            </w: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3.2技术标评审内容及标准（</w:t>
      </w:r>
      <w:r>
        <w:rPr>
          <w:rFonts w:ascii="宋体" w:hAnsi="宋体"/>
          <w:sz w:val="24"/>
        </w:rPr>
        <w:t>65</w:t>
      </w:r>
      <w:r>
        <w:rPr>
          <w:rFonts w:hint="eastAsia" w:ascii="宋体" w:hAnsi="宋体"/>
          <w:sz w:val="24"/>
        </w:rPr>
        <w:t>分）</w:t>
      </w:r>
    </w:p>
    <w:tbl>
      <w:tblPr>
        <w:tblStyle w:val="2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2373"/>
        <w:gridCol w:w="1719"/>
        <w:gridCol w:w="544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373"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rPr>
            </w:pPr>
            <w:r>
              <w:rPr>
                <w:rFonts w:hint="eastAsia" w:ascii="宋体" w:hAnsi="宋体" w:cs="宋体"/>
                <w:sz w:val="24"/>
              </w:rPr>
              <w:t>评审项目</w:t>
            </w:r>
          </w:p>
        </w:tc>
        <w:tc>
          <w:tcPr>
            <w:tcW w:w="171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rPr>
            </w:pPr>
            <w:r>
              <w:rPr>
                <w:rFonts w:hint="eastAsia" w:ascii="宋体" w:hAnsi="宋体" w:cs="宋体"/>
                <w:sz w:val="24"/>
              </w:rPr>
              <w:t>分值</w:t>
            </w:r>
          </w:p>
        </w:tc>
        <w:tc>
          <w:tcPr>
            <w:tcW w:w="544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rPr>
            </w:pPr>
            <w:r>
              <w:rPr>
                <w:rFonts w:hint="eastAsia" w:ascii="宋体" w:hAnsi="宋体" w:cs="宋体"/>
                <w:sz w:val="24"/>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373"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rPr>
            </w:pPr>
            <w:r>
              <w:rPr>
                <w:rFonts w:hint="eastAsia" w:ascii="宋体" w:hAnsi="宋体" w:cs="宋体"/>
                <w:sz w:val="24"/>
              </w:rPr>
              <w:t>项目理解</w:t>
            </w:r>
          </w:p>
        </w:tc>
        <w:tc>
          <w:tcPr>
            <w:tcW w:w="171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highlight w:val="none"/>
              </w:rPr>
            </w:pPr>
            <w:r>
              <w:rPr>
                <w:rFonts w:hint="eastAsia" w:ascii="宋体" w:hAnsi="宋体" w:cs="宋体"/>
                <w:sz w:val="24"/>
                <w:highlight w:val="none"/>
              </w:rPr>
              <w:t>7</w:t>
            </w:r>
          </w:p>
        </w:tc>
        <w:tc>
          <w:tcPr>
            <w:tcW w:w="5449"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sz w:val="24"/>
              </w:rPr>
            </w:pPr>
            <w:r>
              <w:rPr>
                <w:rFonts w:hint="eastAsia" w:ascii="宋体" w:hAnsi="宋体" w:cs="宋体"/>
                <w:sz w:val="24"/>
              </w:rPr>
              <w:t>对本项目的规划背景和编制作用阐述准确得6-7分；较准确得 3-5分；不准确得0-2分。本项最高得分7分。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373"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rPr>
            </w:pPr>
            <w:r>
              <w:rPr>
                <w:rFonts w:hint="eastAsia" w:ascii="宋体" w:hAnsi="宋体" w:cs="宋体"/>
                <w:sz w:val="24"/>
              </w:rPr>
              <w:t>规划理念</w:t>
            </w:r>
          </w:p>
        </w:tc>
        <w:tc>
          <w:tcPr>
            <w:tcW w:w="171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highlight w:val="none"/>
              </w:rPr>
            </w:pPr>
            <w:r>
              <w:rPr>
                <w:rFonts w:hint="eastAsia" w:ascii="宋体" w:hAnsi="宋体" w:cs="宋体"/>
                <w:sz w:val="24"/>
                <w:highlight w:val="none"/>
              </w:rPr>
              <w:t>10</w:t>
            </w:r>
          </w:p>
        </w:tc>
        <w:tc>
          <w:tcPr>
            <w:tcW w:w="5449"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sz w:val="24"/>
              </w:rPr>
            </w:pPr>
            <w:r>
              <w:rPr>
                <w:rFonts w:hint="eastAsia" w:ascii="宋体" w:hAnsi="宋体" w:cs="宋体"/>
                <w:sz w:val="24"/>
              </w:rPr>
              <w:t>规划理念先进，符合本项目采购清单说明规划相关政策文件要求和芜湖市区及无为市、芜湖县、繁昌县、南陵县全域旅游理念和风景廊道标准，得8-10分；规划理念较先进，得4-7分；规划理念与政策要求、地方实际脱节，得0-3分。本项最高得分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373"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rPr>
            </w:pPr>
            <w:r>
              <w:rPr>
                <w:rFonts w:hint="eastAsia" w:ascii="宋体" w:hAnsi="宋体" w:cs="宋体"/>
                <w:sz w:val="24"/>
              </w:rPr>
              <w:t>总体规划思路</w:t>
            </w:r>
          </w:p>
        </w:tc>
        <w:tc>
          <w:tcPr>
            <w:tcW w:w="171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3</w:t>
            </w:r>
          </w:p>
        </w:tc>
        <w:tc>
          <w:tcPr>
            <w:tcW w:w="5449" w:type="dxa"/>
            <w:tcBorders>
              <w:top w:val="outset" w:color="auto" w:sz="6" w:space="0"/>
              <w:left w:val="outset" w:color="auto" w:sz="6" w:space="0"/>
              <w:bottom w:val="outset" w:color="auto" w:sz="6" w:space="0"/>
              <w:right w:val="outset" w:color="auto" w:sz="6" w:space="0"/>
            </w:tcBorders>
            <w:shd w:val="clear" w:color="auto" w:fill="auto"/>
            <w:noWrap/>
            <w:vAlign w:val="center"/>
          </w:tcPr>
          <w:p>
            <w:pPr>
              <w:rPr>
                <w:rFonts w:ascii="宋体" w:hAnsi="宋体" w:cs="宋体"/>
                <w:sz w:val="24"/>
              </w:rPr>
            </w:pPr>
            <w:r>
              <w:rPr>
                <w:rFonts w:hint="eastAsia" w:ascii="宋体" w:hAnsi="宋体" w:cs="宋体"/>
                <w:sz w:val="24"/>
              </w:rPr>
              <w:t>总体设计思路清晰，规划路线内容合理，得</w:t>
            </w:r>
            <w:r>
              <w:rPr>
                <w:rFonts w:ascii="宋体" w:hAnsi="宋体" w:cs="宋体"/>
                <w:sz w:val="24"/>
              </w:rPr>
              <w:t>9</w:t>
            </w:r>
            <w:r>
              <w:rPr>
                <w:rFonts w:hint="eastAsia" w:ascii="宋体" w:hAnsi="宋体" w:cs="宋体"/>
                <w:sz w:val="24"/>
              </w:rPr>
              <w:t>-1</w:t>
            </w:r>
            <w:r>
              <w:rPr>
                <w:rFonts w:ascii="宋体" w:hAnsi="宋体" w:cs="宋体"/>
                <w:sz w:val="24"/>
              </w:rPr>
              <w:t>3</w:t>
            </w:r>
            <w:r>
              <w:rPr>
                <w:rFonts w:hint="eastAsia" w:ascii="宋体" w:hAnsi="宋体" w:cs="宋体"/>
                <w:sz w:val="24"/>
              </w:rPr>
              <w:t>分；总体设计思路较清晰，规划路线较合理，得</w:t>
            </w:r>
            <w:r>
              <w:rPr>
                <w:rFonts w:ascii="宋体" w:hAnsi="宋体" w:cs="宋体"/>
                <w:sz w:val="24"/>
              </w:rPr>
              <w:t>4</w:t>
            </w:r>
            <w:r>
              <w:rPr>
                <w:rFonts w:hint="eastAsia" w:ascii="宋体" w:hAnsi="宋体" w:cs="宋体"/>
                <w:sz w:val="24"/>
              </w:rPr>
              <w:t>-</w:t>
            </w:r>
            <w:r>
              <w:rPr>
                <w:rFonts w:ascii="宋体" w:hAnsi="宋体" w:cs="宋体"/>
                <w:sz w:val="24"/>
              </w:rPr>
              <w:t>8</w:t>
            </w:r>
            <w:r>
              <w:rPr>
                <w:rFonts w:hint="eastAsia" w:ascii="宋体" w:hAnsi="宋体" w:cs="宋体"/>
                <w:sz w:val="24"/>
              </w:rPr>
              <w:t>分；总体设计思路较清晰，规划路线不合理，</w:t>
            </w:r>
            <w:r>
              <w:rPr>
                <w:rFonts w:hint="eastAsia" w:ascii="宋体" w:hAnsi="宋体" w:cs="宋体"/>
                <w:sz w:val="24"/>
                <w:highlight w:val="none"/>
                <w:shd w:val="clear"/>
              </w:rPr>
              <w:t>得0-</w:t>
            </w:r>
            <w:r>
              <w:rPr>
                <w:rFonts w:hint="eastAsia" w:ascii="宋体" w:hAnsi="宋体" w:cs="宋体"/>
                <w:sz w:val="24"/>
                <w:highlight w:val="none"/>
                <w:shd w:val="clear"/>
                <w:lang w:val="en-US" w:eastAsia="zh-CN"/>
              </w:rPr>
              <w:t>3</w:t>
            </w:r>
            <w:r>
              <w:rPr>
                <w:rFonts w:hint="eastAsia" w:ascii="宋体" w:hAnsi="宋体" w:cs="宋体"/>
                <w:sz w:val="24"/>
                <w:highlight w:val="none"/>
                <w:shd w:val="clear"/>
              </w:rPr>
              <w:t>分。</w:t>
            </w:r>
            <w:r>
              <w:rPr>
                <w:rFonts w:hint="eastAsia" w:ascii="宋体" w:hAnsi="宋体" w:cs="宋体"/>
                <w:sz w:val="24"/>
              </w:rPr>
              <w:t>本项最高得分1</w:t>
            </w:r>
            <w:r>
              <w:rPr>
                <w:rFonts w:ascii="宋体" w:hAnsi="宋体" w:cs="宋体"/>
                <w:sz w:val="24"/>
              </w:rPr>
              <w:t>3</w:t>
            </w:r>
            <w:r>
              <w:rPr>
                <w:rFonts w:hint="eastAsia" w:ascii="宋体" w:hAnsi="宋体" w:cs="宋体"/>
                <w:sz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373"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廊道</w:t>
            </w:r>
            <w:r>
              <w:rPr>
                <w:rFonts w:hint="eastAsia" w:ascii="宋体" w:hAnsi="宋体" w:cs="宋体"/>
                <w:sz w:val="24"/>
                <w:highlight w:val="none"/>
              </w:rPr>
              <w:t>公共服务体系规划</w:t>
            </w:r>
            <w:r>
              <w:rPr>
                <w:rFonts w:hint="eastAsia" w:ascii="宋体" w:hAnsi="宋体" w:cs="宋体"/>
                <w:sz w:val="24"/>
                <w:highlight w:val="none"/>
                <w:lang w:eastAsia="zh-CN"/>
              </w:rPr>
              <w:t>方案</w:t>
            </w:r>
          </w:p>
        </w:tc>
        <w:tc>
          <w:tcPr>
            <w:tcW w:w="171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2</w:t>
            </w:r>
          </w:p>
        </w:tc>
        <w:tc>
          <w:tcPr>
            <w:tcW w:w="5449" w:type="dxa"/>
            <w:tcBorders>
              <w:top w:val="outset" w:color="auto" w:sz="6" w:space="0"/>
              <w:left w:val="outset" w:color="auto" w:sz="6" w:space="0"/>
              <w:bottom w:val="outset" w:color="auto" w:sz="6" w:space="0"/>
              <w:right w:val="outset" w:color="auto" w:sz="6" w:space="0"/>
            </w:tcBorders>
            <w:shd w:val="clear" w:color="auto" w:fill="auto"/>
            <w:noWrap/>
            <w:vAlign w:val="center"/>
          </w:tcPr>
          <w:p>
            <w:pPr>
              <w:rPr>
                <w:rFonts w:ascii="宋体" w:hAnsi="宋体" w:cs="宋体"/>
                <w:sz w:val="24"/>
                <w:highlight w:val="none"/>
              </w:rPr>
            </w:pPr>
            <w:r>
              <w:rPr>
                <w:rFonts w:hint="eastAsia" w:ascii="宋体" w:hAnsi="宋体" w:cs="宋体"/>
                <w:sz w:val="24"/>
                <w:highlight w:val="none"/>
              </w:rPr>
              <w:t>对旅游的公共服务体系规划包括但不限于</w:t>
            </w:r>
            <w:r>
              <w:rPr>
                <w:rFonts w:hint="eastAsia" w:ascii="宋体" w:hAnsi="宋体" w:cs="宋体"/>
                <w:sz w:val="24"/>
                <w:highlight w:val="none"/>
                <w:lang w:eastAsia="zh-CN"/>
              </w:rPr>
              <w:t>景区</w:t>
            </w:r>
            <w:r>
              <w:rPr>
                <w:rFonts w:hint="eastAsia" w:ascii="宋体" w:hAnsi="宋体" w:cs="宋体"/>
                <w:sz w:val="24"/>
                <w:highlight w:val="none"/>
              </w:rPr>
              <w:t>出入口、旅游厕所、</w:t>
            </w:r>
            <w:r>
              <w:rPr>
                <w:rFonts w:hint="eastAsia" w:ascii="宋体" w:hAnsi="宋体" w:cs="宋体"/>
                <w:sz w:val="24"/>
                <w:highlight w:val="none"/>
                <w:lang w:eastAsia="zh-CN"/>
              </w:rPr>
              <w:t>加油站、</w:t>
            </w:r>
            <w:r>
              <w:rPr>
                <w:rFonts w:hint="eastAsia" w:ascii="宋体" w:hAnsi="宋体" w:cs="宋体"/>
                <w:sz w:val="24"/>
                <w:highlight w:val="none"/>
              </w:rPr>
              <w:t>观景</w:t>
            </w:r>
            <w:r>
              <w:rPr>
                <w:rFonts w:hint="eastAsia" w:ascii="宋体" w:hAnsi="宋体" w:cs="宋体"/>
                <w:sz w:val="24"/>
                <w:highlight w:val="none"/>
                <w:lang w:eastAsia="zh-CN"/>
              </w:rPr>
              <w:t>平</w:t>
            </w:r>
            <w:r>
              <w:rPr>
                <w:rFonts w:hint="eastAsia" w:ascii="宋体" w:hAnsi="宋体" w:cs="宋体"/>
                <w:sz w:val="24"/>
                <w:highlight w:val="none"/>
              </w:rPr>
              <w:t>台、驿站、停车场、标识标牌系统、智慧旅游系统、旅游交通体系、安全保障体系等；</w:t>
            </w:r>
          </w:p>
          <w:p>
            <w:pPr>
              <w:rPr>
                <w:highlight w:val="none"/>
              </w:rPr>
            </w:pPr>
            <w:r>
              <w:rPr>
                <w:rFonts w:hint="eastAsia" w:ascii="宋体" w:hAnsi="宋体" w:cs="宋体"/>
                <w:sz w:val="24"/>
                <w:highlight w:val="none"/>
              </w:rPr>
              <w:t>提出的规划</w:t>
            </w:r>
            <w:r>
              <w:rPr>
                <w:rFonts w:hint="eastAsia" w:ascii="宋体" w:hAnsi="宋体" w:cs="宋体"/>
                <w:sz w:val="24"/>
                <w:highlight w:val="none"/>
                <w:lang w:eastAsia="zh-CN"/>
              </w:rPr>
              <w:t>方案</w:t>
            </w:r>
            <w:r>
              <w:rPr>
                <w:rFonts w:hint="eastAsia" w:ascii="宋体" w:hAnsi="宋体" w:cs="宋体"/>
                <w:sz w:val="24"/>
                <w:highlight w:val="none"/>
              </w:rPr>
              <w:t>合理，得</w:t>
            </w:r>
            <w:r>
              <w:rPr>
                <w:rFonts w:ascii="宋体" w:hAnsi="宋体" w:cs="宋体"/>
                <w:sz w:val="24"/>
                <w:highlight w:val="none"/>
              </w:rPr>
              <w:t>9</w:t>
            </w:r>
            <w:r>
              <w:rPr>
                <w:rFonts w:hint="eastAsia" w:ascii="宋体" w:hAnsi="宋体" w:cs="宋体"/>
                <w:sz w:val="24"/>
                <w:highlight w:val="none"/>
              </w:rPr>
              <w:t>-1</w:t>
            </w:r>
            <w:r>
              <w:rPr>
                <w:rFonts w:ascii="宋体" w:hAnsi="宋体" w:cs="宋体"/>
                <w:sz w:val="24"/>
                <w:highlight w:val="none"/>
              </w:rPr>
              <w:t>2</w:t>
            </w:r>
            <w:r>
              <w:rPr>
                <w:rFonts w:hint="eastAsia" w:ascii="宋体" w:hAnsi="宋体" w:cs="宋体"/>
                <w:sz w:val="24"/>
                <w:highlight w:val="none"/>
              </w:rPr>
              <w:t>分；较合理得</w:t>
            </w:r>
            <w:r>
              <w:rPr>
                <w:rFonts w:ascii="宋体" w:hAnsi="宋体" w:cs="宋体"/>
                <w:sz w:val="24"/>
                <w:highlight w:val="none"/>
              </w:rPr>
              <w:t>4</w:t>
            </w:r>
            <w:r>
              <w:rPr>
                <w:rFonts w:hint="eastAsia" w:ascii="宋体" w:hAnsi="宋体" w:cs="宋体"/>
                <w:sz w:val="24"/>
                <w:highlight w:val="none"/>
              </w:rPr>
              <w:t>-</w:t>
            </w:r>
            <w:r>
              <w:rPr>
                <w:rFonts w:ascii="宋体" w:hAnsi="宋体" w:cs="宋体"/>
                <w:sz w:val="24"/>
                <w:highlight w:val="none"/>
              </w:rPr>
              <w:t>8</w:t>
            </w:r>
            <w:r>
              <w:rPr>
                <w:rFonts w:hint="eastAsia" w:ascii="宋体" w:hAnsi="宋体" w:cs="宋体"/>
                <w:sz w:val="24"/>
                <w:highlight w:val="none"/>
              </w:rPr>
              <w:t>分；不合理得0-</w:t>
            </w:r>
            <w:r>
              <w:rPr>
                <w:rFonts w:hint="eastAsia" w:ascii="宋体" w:hAnsi="宋体" w:cs="宋体"/>
                <w:sz w:val="24"/>
                <w:highlight w:val="none"/>
                <w:lang w:val="en-US" w:eastAsia="zh-CN"/>
              </w:rPr>
              <w:t>3</w:t>
            </w:r>
            <w:r>
              <w:rPr>
                <w:rFonts w:hint="eastAsia" w:ascii="宋体" w:hAnsi="宋体" w:cs="宋体"/>
                <w:sz w:val="24"/>
                <w:highlight w:val="none"/>
              </w:rPr>
              <w:t>分。本项最高得分1</w:t>
            </w:r>
            <w:r>
              <w:rPr>
                <w:rFonts w:ascii="宋体" w:hAnsi="宋体" w:cs="宋体"/>
                <w:sz w:val="24"/>
                <w:highlight w:val="none"/>
              </w:rPr>
              <w:t>2</w:t>
            </w:r>
            <w:r>
              <w:rPr>
                <w:rFonts w:hint="eastAsia" w:ascii="宋体" w:hAnsi="宋体" w:cs="宋体"/>
                <w:sz w:val="24"/>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373"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宋体" w:hAnsi="宋体" w:eastAsia="宋体" w:cs="宋体"/>
                <w:sz w:val="24"/>
                <w:highlight w:val="none"/>
                <w:lang w:val="en-US" w:eastAsia="zh-CN"/>
              </w:rPr>
            </w:pPr>
            <w:r>
              <w:rPr>
                <w:rFonts w:hint="eastAsia" w:ascii="宋体" w:hAnsi="宋体" w:cs="宋体"/>
                <w:sz w:val="24"/>
                <w:szCs w:val="24"/>
                <w:highlight w:val="none"/>
                <w:lang w:eastAsia="zh-CN"/>
              </w:rPr>
              <w:t>项目规划内容方案</w:t>
            </w:r>
          </w:p>
        </w:tc>
        <w:tc>
          <w:tcPr>
            <w:tcW w:w="171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highlight w:val="none"/>
              </w:rPr>
            </w:pPr>
            <w:r>
              <w:rPr>
                <w:rFonts w:hint="eastAsia" w:ascii="宋体" w:hAnsi="宋体" w:cs="宋体"/>
                <w:sz w:val="24"/>
                <w:highlight w:val="none"/>
              </w:rPr>
              <w:t>12</w:t>
            </w:r>
          </w:p>
        </w:tc>
        <w:tc>
          <w:tcPr>
            <w:tcW w:w="5449" w:type="dxa"/>
            <w:tcBorders>
              <w:top w:val="outset" w:color="auto" w:sz="6" w:space="0"/>
              <w:left w:val="outset" w:color="auto" w:sz="6" w:space="0"/>
              <w:bottom w:val="outset" w:color="auto" w:sz="6" w:space="0"/>
              <w:right w:val="outset" w:color="auto" w:sz="6" w:space="0"/>
            </w:tcBorders>
            <w:noWrap/>
            <w:vAlign w:val="center"/>
          </w:tcPr>
          <w:p>
            <w:pPr>
              <w:rPr>
                <w:rFonts w:hint="eastAsia" w:ascii="宋体" w:hAnsi="宋体" w:eastAsia="宋体" w:cs="宋体"/>
                <w:sz w:val="24"/>
                <w:szCs w:val="24"/>
                <w:highlight w:val="none"/>
              </w:rPr>
            </w:pPr>
            <w:r>
              <w:rPr>
                <w:rFonts w:hint="eastAsia" w:ascii="宋体" w:hAnsi="宋体" w:cs="宋体"/>
                <w:sz w:val="24"/>
                <w:highlight w:val="none"/>
              </w:rPr>
              <w:t>拟提交的</w:t>
            </w:r>
            <w:r>
              <w:rPr>
                <w:rFonts w:hint="eastAsia" w:ascii="宋体" w:hAnsi="宋体" w:cs="宋体"/>
                <w:sz w:val="24"/>
                <w:highlight w:val="none"/>
                <w:lang w:eastAsia="zh-CN"/>
              </w:rPr>
              <w:t>项目规划</w:t>
            </w:r>
            <w:r>
              <w:rPr>
                <w:rFonts w:hint="eastAsia" w:ascii="宋体" w:hAnsi="宋体" w:cs="宋体"/>
                <w:sz w:val="24"/>
                <w:highlight w:val="none"/>
              </w:rPr>
              <w:t>内容</w:t>
            </w:r>
            <w:r>
              <w:rPr>
                <w:rFonts w:hint="eastAsia" w:ascii="宋体" w:hAnsi="宋体" w:cs="宋体"/>
                <w:sz w:val="24"/>
                <w:highlight w:val="none"/>
                <w:lang w:eastAsia="zh-CN"/>
              </w:rPr>
              <w:t>方案</w:t>
            </w:r>
            <w:r>
              <w:rPr>
                <w:rFonts w:hint="eastAsia" w:ascii="宋体" w:hAnsi="宋体" w:cs="宋体"/>
                <w:sz w:val="24"/>
                <w:highlight w:val="none"/>
              </w:rPr>
              <w:t>中</w:t>
            </w:r>
            <w:r>
              <w:rPr>
                <w:rFonts w:hint="eastAsia" w:ascii="宋体" w:hAnsi="宋体" w:cs="宋体"/>
                <w:sz w:val="24"/>
                <w:highlight w:val="none"/>
                <w:lang w:eastAsia="zh-CN"/>
              </w:rPr>
              <w:t>廊道主题策划、重点旅游项目、</w:t>
            </w:r>
            <w:r>
              <w:rPr>
                <w:rFonts w:hint="eastAsia" w:ascii="宋体" w:hAnsi="宋体" w:cs="宋体"/>
                <w:sz w:val="24"/>
                <w:highlight w:val="none"/>
              </w:rPr>
              <w:t>旅游产品</w:t>
            </w:r>
            <w:r>
              <w:rPr>
                <w:rFonts w:hint="eastAsia" w:ascii="宋体" w:hAnsi="宋体" w:cs="宋体"/>
                <w:sz w:val="24"/>
                <w:highlight w:val="none"/>
                <w:lang w:eastAsia="zh-CN"/>
              </w:rPr>
              <w:t>业态</w:t>
            </w:r>
            <w:r>
              <w:rPr>
                <w:rFonts w:hint="eastAsia" w:ascii="宋体" w:hAnsi="宋体" w:cs="宋体"/>
                <w:sz w:val="24"/>
                <w:highlight w:val="none"/>
              </w:rPr>
              <w:t>、营销推广、</w:t>
            </w:r>
            <w:r>
              <w:rPr>
                <w:rFonts w:hint="eastAsia" w:ascii="宋体" w:hAnsi="宋体" w:cs="宋体"/>
                <w:sz w:val="24"/>
                <w:highlight w:val="none"/>
                <w:lang w:eastAsia="zh-CN"/>
              </w:rPr>
              <w:t>安全</w:t>
            </w:r>
            <w:r>
              <w:rPr>
                <w:rFonts w:hint="eastAsia" w:ascii="宋体" w:hAnsi="宋体" w:cs="宋体"/>
                <w:sz w:val="24"/>
                <w:highlight w:val="none"/>
              </w:rPr>
              <w:t>实施保障、行动计划等规划内容完整且合理，得9-12分；较完整、较合理，得4-8分；不完整，或不合理，得0-3分。本项最高得分12分。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373"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highlight w:val="none"/>
              </w:rPr>
            </w:pPr>
            <w:r>
              <w:rPr>
                <w:rFonts w:hint="eastAsia" w:ascii="宋体" w:hAnsi="宋体" w:cs="宋体"/>
                <w:sz w:val="24"/>
                <w:highlight w:val="none"/>
              </w:rPr>
              <w:t>项目特点及关键措施</w:t>
            </w:r>
          </w:p>
        </w:tc>
        <w:tc>
          <w:tcPr>
            <w:tcW w:w="171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sz w:val="24"/>
                <w:highlight w:val="none"/>
              </w:rPr>
            </w:pPr>
            <w:r>
              <w:rPr>
                <w:rFonts w:ascii="宋体" w:hAnsi="宋体" w:cs="宋体"/>
                <w:sz w:val="24"/>
                <w:highlight w:val="none"/>
              </w:rPr>
              <w:t>11</w:t>
            </w:r>
          </w:p>
        </w:tc>
        <w:tc>
          <w:tcPr>
            <w:tcW w:w="5449"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sz w:val="24"/>
                <w:highlight w:val="cyan"/>
              </w:rPr>
            </w:pPr>
            <w:r>
              <w:rPr>
                <w:rFonts w:hint="eastAsia" w:ascii="宋体" w:hAnsi="宋体" w:cs="宋体"/>
                <w:sz w:val="24"/>
                <w:highlight w:val="none"/>
              </w:rPr>
              <w:t>对当前存在问题分析到位，提出的关键措施合理，得8-11分；较合理得4-7分；不合理得0-3分。本项最高得分11分。</w:t>
            </w:r>
          </w:p>
        </w:tc>
      </w:tr>
    </w:tbl>
    <w:p>
      <w:pPr>
        <w:jc w:val="left"/>
      </w:pPr>
      <w:r>
        <w:rPr>
          <w:rFonts w:hint="eastAsia"/>
        </w:rPr>
        <w:t>备注：磋商小组成员对“技术部分”合计分超出其他成员平均值±50%时，须写明评分依据及理由。</w:t>
      </w:r>
      <w:bookmarkEnd w:id="0"/>
    </w:p>
    <w:p>
      <w:pPr>
        <w:spacing w:line="360" w:lineRule="auto"/>
        <w:jc w:val="center"/>
        <w:rPr>
          <w:rFonts w:ascii="宋体" w:hAnsi="宋体"/>
          <w:b/>
          <w:sz w:val="32"/>
          <w:szCs w:val="32"/>
        </w:rPr>
      </w:pPr>
    </w:p>
    <w:p>
      <w:pPr>
        <w:spacing w:line="360" w:lineRule="auto"/>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0" w:firstLineChars="0"/>
        <w:rPr>
          <w:rFonts w:ascii="宋体" w:hAnsi="宋体"/>
          <w:b/>
          <w:sz w:val="32"/>
          <w:szCs w:val="32"/>
        </w:rPr>
      </w:pPr>
    </w:p>
    <w:p>
      <w:pPr>
        <w:spacing w:line="360" w:lineRule="auto"/>
        <w:jc w:val="center"/>
        <w:rPr>
          <w:b/>
          <w:bCs/>
          <w:sz w:val="32"/>
          <w:szCs w:val="36"/>
        </w:rPr>
      </w:pPr>
      <w:r>
        <w:rPr>
          <w:rFonts w:hint="eastAsia" w:ascii="宋体" w:hAnsi="宋体"/>
          <w:b/>
          <w:sz w:val="32"/>
          <w:szCs w:val="32"/>
        </w:rPr>
        <w:t>第六章  响应文件格式</w:t>
      </w:r>
    </w:p>
    <w:p>
      <w:pPr>
        <w:spacing w:line="360" w:lineRule="auto"/>
        <w:jc w:val="center"/>
        <w:rPr>
          <w:b/>
          <w:bCs/>
          <w:sz w:val="28"/>
          <w:szCs w:val="28"/>
        </w:rPr>
      </w:pPr>
      <w:r>
        <w:rPr>
          <w:rFonts w:hint="eastAsia"/>
          <w:b/>
          <w:bCs/>
          <w:sz w:val="28"/>
          <w:szCs w:val="28"/>
        </w:rPr>
        <w:t>一、磋商申请函格式</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采购人：                   </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采购代理机构：            </w:t>
      </w:r>
    </w:p>
    <w:p>
      <w:pPr>
        <w:spacing w:line="360" w:lineRule="auto"/>
        <w:ind w:firstLine="480" w:firstLineChars="200"/>
        <w:rPr>
          <w:rFonts w:ascii="宋体" w:hAnsi="宋体"/>
          <w:sz w:val="24"/>
          <w:highlight w:val="white"/>
        </w:rPr>
      </w:pPr>
      <w:r>
        <w:rPr>
          <w:rFonts w:hint="eastAsia" w:ascii="宋体" w:hAnsi="宋体"/>
          <w:sz w:val="24"/>
          <w:highlight w:val="white"/>
        </w:rPr>
        <w:t>在研究了</w:t>
      </w:r>
      <w:r>
        <w:rPr>
          <w:rFonts w:hint="eastAsia" w:ascii="宋体" w:hAnsi="宋体"/>
          <w:sz w:val="24"/>
          <w:highlight w:val="white"/>
          <w:u w:val="single"/>
        </w:rPr>
        <w:t>项目名称及编号</w:t>
      </w:r>
      <w:r>
        <w:rPr>
          <w:rFonts w:hint="eastAsia" w:ascii="宋体" w:hAnsi="宋体"/>
          <w:sz w:val="24"/>
          <w:highlight w:val="white"/>
        </w:rPr>
        <w:t>采购文件（含补充文件）后，我们愿意按人民币（大写******元）（小写****元）的投标报价，遵照磋商文件（含补充文件）的要求承担本采购项目的实施，完成本次采购范围的全部工作内容。</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   2、如果你单位接受我们的申请，我们将保证在磋商文件规定的服务期限内完成本采购项目的全部工作内容，并达到磋商文件规定的要求。</w:t>
      </w:r>
    </w:p>
    <w:p>
      <w:pPr>
        <w:spacing w:line="360" w:lineRule="auto"/>
        <w:ind w:firstLine="480" w:firstLineChars="200"/>
        <w:rPr>
          <w:rFonts w:ascii="宋体" w:hAnsi="宋体"/>
          <w:sz w:val="24"/>
          <w:highlight w:val="white"/>
        </w:rPr>
      </w:pPr>
      <w:r>
        <w:rPr>
          <w:rFonts w:hint="eastAsia" w:ascii="宋体" w:hAnsi="宋体"/>
          <w:sz w:val="24"/>
          <w:highlight w:val="white"/>
        </w:rPr>
        <w:t>3、我们同意从规定的首次提交响应文件之日起56个日历天的磋商有效期内严格遵守磋商文件的各项承诺。在此期限届满之前，本申请书始终将对我方具有约束力，并随时接受成交。</w:t>
      </w:r>
    </w:p>
    <w:p>
      <w:pPr>
        <w:spacing w:line="360" w:lineRule="auto"/>
        <w:ind w:firstLine="480" w:firstLineChars="200"/>
        <w:rPr>
          <w:rFonts w:ascii="宋体" w:hAnsi="宋体"/>
          <w:sz w:val="24"/>
          <w:highlight w:val="white"/>
        </w:rPr>
      </w:pPr>
      <w:r>
        <w:rPr>
          <w:rFonts w:hint="eastAsia" w:ascii="宋体" w:hAnsi="宋体"/>
          <w:sz w:val="24"/>
          <w:highlight w:val="white"/>
        </w:rPr>
        <w:t>4、在合同书正式签署生效之前，本申请书连同贵单位签发的中标通知书将构成我们双方之间共同遵守的文件，对双方具有约束力。</w:t>
      </w:r>
    </w:p>
    <w:p>
      <w:pPr>
        <w:spacing w:line="360" w:lineRule="auto"/>
        <w:ind w:firstLine="480" w:firstLineChars="200"/>
        <w:rPr>
          <w:rFonts w:ascii="宋体" w:hAnsi="宋体"/>
          <w:sz w:val="24"/>
          <w:highlight w:val="white"/>
        </w:rPr>
      </w:pPr>
      <w:r>
        <w:rPr>
          <w:rFonts w:hint="eastAsia" w:ascii="宋体" w:hAnsi="宋体"/>
          <w:sz w:val="24"/>
          <w:highlight w:val="white"/>
        </w:rPr>
        <w:t>5、我们理解你单位不负担我们的任何磋商费用。</w:t>
      </w:r>
    </w:p>
    <w:p>
      <w:pPr>
        <w:spacing w:line="360" w:lineRule="auto"/>
        <w:ind w:firstLine="480" w:firstLineChars="200"/>
        <w:rPr>
          <w:rFonts w:ascii="宋体" w:hAnsi="宋体"/>
          <w:sz w:val="24"/>
          <w:highlight w:val="white"/>
        </w:rPr>
      </w:pPr>
      <w:r>
        <w:rPr>
          <w:rFonts w:hint="eastAsia" w:ascii="宋体" w:hAnsi="宋体"/>
          <w:sz w:val="24"/>
          <w:highlight w:val="white"/>
        </w:rPr>
        <w:t>6、根据竞争性磋商须知第3条规定，我方承诺，与对本次磋商项目进行设计、编制规范和其他文件的单位或其附属机构均无关联。我方不是采购方的附属机构。</w:t>
      </w:r>
    </w:p>
    <w:p>
      <w:pPr>
        <w:spacing w:line="360" w:lineRule="auto"/>
        <w:ind w:firstLine="480" w:firstLineChars="200"/>
        <w:rPr>
          <w:rFonts w:ascii="宋体" w:hAnsi="宋体"/>
          <w:sz w:val="24"/>
          <w:highlight w:val="white"/>
        </w:rPr>
      </w:pPr>
      <w:r>
        <w:rPr>
          <w:rFonts w:hint="eastAsia" w:ascii="宋体" w:hAnsi="宋体"/>
          <w:sz w:val="24"/>
          <w:highlight w:val="white"/>
        </w:rPr>
        <w:t>7、随同本申请书，我们出具人民币共计*****元的磋商保证金。我们完全接受磋商标文件的规定。如有违反，你单位有权撤消我单位成交资格，另选成交单位。</w:t>
      </w:r>
    </w:p>
    <w:p>
      <w:pPr>
        <w:spacing w:line="360" w:lineRule="auto"/>
        <w:ind w:firstLine="480" w:firstLineChars="200"/>
        <w:rPr>
          <w:rFonts w:ascii="宋体" w:hAnsi="宋体"/>
          <w:sz w:val="24"/>
          <w:highlight w:val="white"/>
        </w:rPr>
      </w:pPr>
      <w:r>
        <w:rPr>
          <w:rFonts w:hint="eastAsia" w:ascii="宋体" w:hAnsi="宋体"/>
          <w:kern w:val="0"/>
          <w:sz w:val="24"/>
        </w:rPr>
        <w:t>磋商供应商</w:t>
      </w:r>
      <w:r>
        <w:rPr>
          <w:rFonts w:hint="eastAsia" w:ascii="宋体" w:hAnsi="宋体"/>
          <w:sz w:val="24"/>
          <w:highlight w:val="white"/>
        </w:rPr>
        <w:t xml:space="preserve">： (盖单位公章) </w:t>
      </w:r>
    </w:p>
    <w:p>
      <w:pPr>
        <w:spacing w:line="360" w:lineRule="auto"/>
        <w:ind w:firstLine="480" w:firstLineChars="200"/>
        <w:rPr>
          <w:rFonts w:ascii="宋体" w:hAnsi="宋体"/>
          <w:sz w:val="24"/>
          <w:highlight w:val="white"/>
        </w:rPr>
      </w:pPr>
      <w:r>
        <w:rPr>
          <w:rFonts w:hint="eastAsia" w:ascii="宋体" w:hAnsi="宋体"/>
          <w:sz w:val="24"/>
          <w:highlight w:val="white"/>
        </w:rPr>
        <w:t>单位地址及邮政编码：</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法人代表或授权代表：（纸质响应文件中须签字或盖章）      </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联系电话（传真）：  </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开户银行名称：                      </w:t>
      </w:r>
    </w:p>
    <w:p>
      <w:pPr>
        <w:spacing w:line="360" w:lineRule="auto"/>
        <w:ind w:firstLine="480" w:firstLineChars="200"/>
        <w:rPr>
          <w:rFonts w:ascii="宋体" w:hAnsi="宋体"/>
          <w:sz w:val="24"/>
          <w:highlight w:val="white"/>
        </w:rPr>
      </w:pPr>
      <w:r>
        <w:rPr>
          <w:rFonts w:hint="eastAsia" w:ascii="宋体" w:hAnsi="宋体"/>
          <w:sz w:val="24"/>
          <w:highlight w:val="white"/>
        </w:rPr>
        <w:t xml:space="preserve">开户银行账号（基本账户）：          </w:t>
      </w:r>
    </w:p>
    <w:p>
      <w:pPr>
        <w:spacing w:line="360" w:lineRule="auto"/>
        <w:ind w:firstLine="480" w:firstLineChars="200"/>
        <w:rPr>
          <w:rFonts w:ascii="宋体" w:hAnsi="宋体"/>
          <w:sz w:val="24"/>
          <w:highlight w:val="white"/>
        </w:rPr>
      </w:pPr>
    </w:p>
    <w:p>
      <w:pPr>
        <w:spacing w:line="360" w:lineRule="auto"/>
        <w:ind w:firstLine="480" w:firstLineChars="200"/>
        <w:rPr>
          <w:rFonts w:ascii="宋体" w:hAnsi="宋体"/>
          <w:sz w:val="24"/>
          <w:highlight w:val="white"/>
        </w:rPr>
      </w:pPr>
      <w:r>
        <w:rPr>
          <w:rFonts w:hint="eastAsia" w:ascii="宋体" w:hAnsi="宋体"/>
          <w:sz w:val="24"/>
          <w:highlight w:val="white"/>
        </w:rPr>
        <w:t xml:space="preserve">                                                    年    月    日</w:t>
      </w:r>
    </w:p>
    <w:p>
      <w:pPr>
        <w:pStyle w:val="13"/>
        <w:adjustRightInd w:val="0"/>
        <w:snapToGrid w:val="0"/>
        <w:jc w:val="center"/>
        <w:rPr>
          <w:rFonts w:ascii="Times New Roman" w:hAnsi="Times New Roman"/>
          <w:b/>
          <w:bCs/>
          <w:sz w:val="28"/>
          <w:szCs w:val="28"/>
        </w:rPr>
      </w:pPr>
      <w:r>
        <w:rPr>
          <w:rFonts w:hint="eastAsia"/>
          <w:sz w:val="28"/>
          <w:szCs w:val="28"/>
          <w:u w:val="single"/>
        </w:rPr>
        <w:br w:type="page"/>
      </w:r>
      <w:r>
        <w:rPr>
          <w:rFonts w:hint="eastAsia" w:ascii="Times New Roman" w:hAnsi="Times New Roman"/>
          <w:b/>
          <w:bCs/>
          <w:sz w:val="28"/>
          <w:szCs w:val="28"/>
        </w:rPr>
        <w:t>二、授权委托书</w:t>
      </w:r>
    </w:p>
    <w:p>
      <w:pPr>
        <w:spacing w:line="360" w:lineRule="auto"/>
        <w:ind w:firstLine="560" w:firstLineChars="200"/>
        <w:rPr>
          <w:rFonts w:ascii="宋体" w:hAnsi="宋体" w:cs="宋体"/>
          <w:sz w:val="28"/>
          <w:szCs w:val="28"/>
        </w:rPr>
      </w:pPr>
    </w:p>
    <w:p>
      <w:pPr>
        <w:spacing w:line="360" w:lineRule="auto"/>
        <w:ind w:firstLine="480" w:firstLineChars="200"/>
        <w:rPr>
          <w:rFonts w:ascii="宋体" w:hAnsi="宋体"/>
          <w:sz w:val="24"/>
          <w:highlight w:val="white"/>
        </w:rPr>
      </w:pPr>
      <w:r>
        <w:rPr>
          <w:rFonts w:hint="eastAsia" w:ascii="宋体" w:hAnsi="宋体"/>
          <w:sz w:val="24"/>
          <w:highlight w:val="white"/>
        </w:rPr>
        <w:t>本授权委托书声明：我</w:t>
      </w:r>
      <w:r>
        <w:rPr>
          <w:rFonts w:hint="eastAsia" w:ascii="宋体" w:hAnsi="宋体"/>
          <w:sz w:val="24"/>
          <w:highlight w:val="white"/>
          <w:u w:val="single"/>
        </w:rPr>
        <w:t xml:space="preserve">         (姓名)</w:t>
      </w:r>
      <w:r>
        <w:rPr>
          <w:rFonts w:hint="eastAsia" w:ascii="宋体" w:hAnsi="宋体"/>
          <w:sz w:val="24"/>
          <w:highlight w:val="white"/>
        </w:rPr>
        <w:t>系</w:t>
      </w:r>
      <w:r>
        <w:rPr>
          <w:rFonts w:hint="eastAsia" w:ascii="宋体" w:hAnsi="宋体"/>
          <w:sz w:val="24"/>
          <w:highlight w:val="white"/>
          <w:u w:val="single"/>
        </w:rPr>
        <w:t xml:space="preserve">            (供应商名称)</w:t>
      </w:r>
      <w:r>
        <w:rPr>
          <w:rFonts w:hint="eastAsia" w:ascii="宋体" w:hAnsi="宋体"/>
          <w:sz w:val="24"/>
          <w:highlight w:val="white"/>
        </w:rPr>
        <w:t>的法定代表人代表，现授权委托</w:t>
      </w:r>
      <w:r>
        <w:rPr>
          <w:rFonts w:hint="eastAsia" w:ascii="宋体" w:hAnsi="宋体"/>
          <w:sz w:val="24"/>
          <w:highlight w:val="white"/>
          <w:u w:val="single"/>
        </w:rPr>
        <w:t xml:space="preserve">          (姓名)</w:t>
      </w:r>
      <w:r>
        <w:rPr>
          <w:rFonts w:hint="eastAsia" w:ascii="宋体" w:hAnsi="宋体"/>
          <w:sz w:val="24"/>
          <w:highlight w:val="white"/>
        </w:rPr>
        <w:t>为我公司代理人，参加</w:t>
      </w:r>
      <w:r>
        <w:rPr>
          <w:rFonts w:hint="eastAsia" w:ascii="宋体" w:hAnsi="宋体"/>
          <w:sz w:val="24"/>
          <w:highlight w:val="white"/>
          <w:u w:val="single"/>
        </w:rPr>
        <w:t xml:space="preserve">             (采购人)</w:t>
      </w:r>
      <w:r>
        <w:rPr>
          <w:rFonts w:hint="eastAsia" w:ascii="宋体" w:hAnsi="宋体"/>
          <w:sz w:val="24"/>
          <w:highlight w:val="white"/>
        </w:rPr>
        <w:t>的               项目的磋商活动。授权委托人在参加磋商过程中所签署的一切文件和处理与之有关的一切事务，我均予以承认。</w:t>
      </w:r>
    </w:p>
    <w:p>
      <w:pPr>
        <w:spacing w:line="360" w:lineRule="auto"/>
        <w:ind w:firstLine="480" w:firstLineChars="200"/>
        <w:jc w:val="left"/>
        <w:rPr>
          <w:rFonts w:ascii="宋体" w:hAnsi="宋体"/>
          <w:sz w:val="24"/>
          <w:highlight w:val="white"/>
        </w:rPr>
      </w:pPr>
      <w:r>
        <w:rPr>
          <w:rFonts w:hint="eastAsia" w:ascii="宋体" w:hAnsi="宋体"/>
          <w:sz w:val="24"/>
          <w:highlight w:val="white"/>
        </w:rPr>
        <w:t>授权委托人无转委托权。特此委托。</w:t>
      </w:r>
      <w:r>
        <w:rPr>
          <w:rFonts w:hint="eastAsia" w:ascii="宋体" w:hAnsi="宋体"/>
          <w:sz w:val="24"/>
          <w:highlight w:val="white"/>
        </w:rPr>
        <w:cr/>
      </w:r>
      <w:r>
        <w:rPr>
          <w:rFonts w:hint="eastAsia" w:ascii="宋体" w:hAnsi="宋体"/>
          <w:sz w:val="24"/>
          <w:highlight w:val="white"/>
        </w:rPr>
        <w:t>附：授权委托人身份证复印件</w:t>
      </w:r>
    </w:p>
    <w:p>
      <w:pPr>
        <w:spacing w:line="360" w:lineRule="auto"/>
        <w:rPr>
          <w:rFonts w:ascii="宋体" w:hAnsi="宋体"/>
          <w:sz w:val="24"/>
          <w:highlight w:val="white"/>
        </w:rPr>
      </w:pPr>
    </w:p>
    <w:p>
      <w:pPr>
        <w:spacing w:line="360" w:lineRule="auto"/>
        <w:ind w:firstLine="480" w:firstLineChars="200"/>
        <w:rPr>
          <w:rFonts w:ascii="宋体" w:hAnsi="宋体"/>
          <w:sz w:val="24"/>
          <w:highlight w:val="white"/>
        </w:rPr>
      </w:pPr>
      <w:r>
        <w:rPr>
          <w:rFonts w:hint="eastAsia" w:ascii="宋体" w:hAnsi="宋体"/>
          <w:sz w:val="24"/>
          <w:highlight w:val="white"/>
        </w:rPr>
        <w:t>代理人：             性别：                 年龄：</w:t>
      </w:r>
    </w:p>
    <w:p>
      <w:pPr>
        <w:spacing w:line="360" w:lineRule="auto"/>
        <w:ind w:firstLine="480" w:firstLineChars="200"/>
        <w:rPr>
          <w:rFonts w:ascii="宋体" w:hAnsi="宋体"/>
          <w:sz w:val="24"/>
          <w:highlight w:val="white"/>
        </w:rPr>
      </w:pPr>
      <w:r>
        <w:rPr>
          <w:rFonts w:hint="eastAsia" w:ascii="宋体" w:hAnsi="宋体"/>
          <w:sz w:val="24"/>
          <w:highlight w:val="white"/>
        </w:rPr>
        <w:t>单位：               部门：                 职务：</w:t>
      </w:r>
    </w:p>
    <w:p>
      <w:pPr>
        <w:spacing w:line="360" w:lineRule="auto"/>
        <w:ind w:firstLine="480" w:firstLineChars="200"/>
        <w:rPr>
          <w:rFonts w:ascii="宋体" w:hAnsi="宋体"/>
          <w:sz w:val="24"/>
          <w:highlight w:val="white"/>
        </w:rPr>
      </w:pPr>
      <w:r>
        <w:rPr>
          <w:rFonts w:hint="eastAsia" w:ascii="宋体" w:hAnsi="宋体"/>
          <w:kern w:val="0"/>
          <w:sz w:val="24"/>
        </w:rPr>
        <w:t>磋商供应商</w:t>
      </w:r>
      <w:r>
        <w:rPr>
          <w:rFonts w:hint="eastAsia" w:ascii="宋体" w:hAnsi="宋体"/>
          <w:sz w:val="24"/>
          <w:highlight w:val="white"/>
        </w:rPr>
        <w:t xml:space="preserve">：(盖单位公章) </w:t>
      </w:r>
    </w:p>
    <w:p>
      <w:pPr>
        <w:spacing w:line="360" w:lineRule="auto"/>
        <w:ind w:firstLine="480" w:firstLineChars="200"/>
        <w:rPr>
          <w:rFonts w:ascii="宋体" w:hAnsi="宋体"/>
          <w:sz w:val="24"/>
          <w:highlight w:val="white"/>
        </w:rPr>
      </w:pPr>
      <w:r>
        <w:rPr>
          <w:rFonts w:hint="eastAsia" w:ascii="宋体" w:hAnsi="宋体"/>
          <w:sz w:val="24"/>
          <w:highlight w:val="white"/>
        </w:rPr>
        <w:t>法定代表人：(签字或盖章)</w:t>
      </w:r>
    </w:p>
    <w:p>
      <w:pPr>
        <w:spacing w:line="360" w:lineRule="auto"/>
        <w:ind w:firstLine="480" w:firstLineChars="200"/>
        <w:rPr>
          <w:rFonts w:ascii="宋体" w:hAnsi="宋体"/>
          <w:sz w:val="24"/>
          <w:highlight w:val="white"/>
        </w:rPr>
      </w:pPr>
    </w:p>
    <w:p>
      <w:pPr>
        <w:spacing w:line="360" w:lineRule="auto"/>
        <w:ind w:firstLine="480" w:firstLineChars="200"/>
        <w:rPr>
          <w:rFonts w:ascii="宋体" w:hAnsi="宋体"/>
          <w:sz w:val="24"/>
          <w:highlight w:val="white"/>
        </w:rPr>
      </w:pPr>
      <w:r>
        <w:rPr>
          <w:rFonts w:hint="eastAsia" w:ascii="宋体" w:hAnsi="宋体"/>
          <w:sz w:val="24"/>
          <w:highlight w:val="white"/>
        </w:rPr>
        <w:t>日期：         年     月     日</w:t>
      </w:r>
    </w:p>
    <w:p>
      <w:pPr>
        <w:spacing w:line="360" w:lineRule="auto"/>
        <w:ind w:firstLine="560" w:firstLineChars="200"/>
        <w:jc w:val="right"/>
        <w:rPr>
          <w:rFonts w:ascii="宋体" w:hAnsi="宋体" w:cs="宋体"/>
          <w:sz w:val="28"/>
          <w:szCs w:val="28"/>
        </w:rPr>
      </w:pPr>
    </w:p>
    <w:p>
      <w:pPr>
        <w:spacing w:line="360" w:lineRule="auto"/>
        <w:jc w:val="center"/>
        <w:rPr>
          <w:rFonts w:ascii="黑体" w:hAnsi="黑体" w:eastAsia="黑体"/>
          <w:b/>
          <w:sz w:val="32"/>
          <w:szCs w:val="32"/>
        </w:rPr>
      </w:pPr>
      <w:r>
        <w:rPr>
          <w:rFonts w:ascii="黑体" w:hAnsi="黑体" w:eastAsia="黑体"/>
          <w:b/>
          <w:sz w:val="32"/>
          <w:szCs w:val="32"/>
        </w:rPr>
        <w:t>法定代表人证明</w:t>
      </w:r>
    </w:p>
    <w:p>
      <w:pPr>
        <w:tabs>
          <w:tab w:val="left" w:pos="6300"/>
        </w:tabs>
        <w:snapToGrid w:val="0"/>
        <w:spacing w:line="460" w:lineRule="exact"/>
        <w:ind w:firstLine="570"/>
        <w:rPr>
          <w:rFonts w:ascii="宋体" w:hAnsi="宋体"/>
        </w:rPr>
      </w:pPr>
    </w:p>
    <w:p>
      <w:pPr>
        <w:spacing w:line="360" w:lineRule="auto"/>
        <w:ind w:firstLine="480" w:firstLineChars="200"/>
        <w:rPr>
          <w:rFonts w:ascii="宋体" w:hAnsi="宋体"/>
          <w:sz w:val="24"/>
          <w:highlight w:val="white"/>
        </w:rPr>
      </w:pPr>
      <w:r>
        <w:rPr>
          <w:rFonts w:hint="eastAsia" w:ascii="宋体" w:hAnsi="宋体"/>
          <w:sz w:val="24"/>
          <w:highlight w:val="white"/>
          <w:u w:val="single"/>
        </w:rPr>
        <w:t xml:space="preserve">           （法定代表人姓名）</w:t>
      </w:r>
      <w:r>
        <w:rPr>
          <w:rFonts w:hint="eastAsia" w:ascii="宋体" w:hAnsi="宋体"/>
          <w:sz w:val="24"/>
          <w:highlight w:val="white"/>
        </w:rPr>
        <w:t>系</w:t>
      </w:r>
      <w:r>
        <w:rPr>
          <w:rFonts w:hint="eastAsia" w:ascii="宋体" w:hAnsi="宋体"/>
          <w:sz w:val="24"/>
          <w:highlight w:val="white"/>
          <w:u w:val="single"/>
        </w:rPr>
        <w:t xml:space="preserve">              (供应商名称)</w:t>
      </w:r>
      <w:r>
        <w:rPr>
          <w:rFonts w:hint="eastAsia" w:ascii="宋体" w:hAnsi="宋体"/>
          <w:sz w:val="24"/>
          <w:highlight w:val="white"/>
        </w:rPr>
        <w:t xml:space="preserve">法定代表人，职务为 </w:t>
      </w:r>
      <w:r>
        <w:rPr>
          <w:rFonts w:hint="eastAsia" w:ascii="宋体" w:hAnsi="宋体"/>
          <w:sz w:val="24"/>
          <w:highlight w:val="white"/>
          <w:u w:val="single"/>
        </w:rPr>
        <w:t>（职务名称）。</w:t>
      </w:r>
    </w:p>
    <w:p>
      <w:pPr>
        <w:spacing w:line="360" w:lineRule="auto"/>
        <w:ind w:firstLine="480" w:firstLineChars="200"/>
        <w:rPr>
          <w:rFonts w:ascii="宋体" w:hAnsi="宋体"/>
          <w:sz w:val="24"/>
          <w:highlight w:val="white"/>
        </w:rPr>
      </w:pPr>
      <w:r>
        <w:rPr>
          <w:rFonts w:hint="eastAsia" w:ascii="宋体" w:hAnsi="宋体"/>
          <w:sz w:val="24"/>
          <w:highlight w:val="white"/>
        </w:rPr>
        <w:t>特此证明。</w:t>
      </w:r>
    </w:p>
    <w:p>
      <w:pPr>
        <w:spacing w:line="360" w:lineRule="auto"/>
        <w:ind w:firstLine="480" w:firstLineChars="200"/>
        <w:rPr>
          <w:rFonts w:ascii="宋体" w:hAnsi="宋体"/>
          <w:sz w:val="24"/>
          <w:highlight w:val="white"/>
        </w:rPr>
      </w:pPr>
      <w:r>
        <w:rPr>
          <w:rFonts w:hint="eastAsia" w:ascii="宋体" w:hAnsi="宋体"/>
          <w:sz w:val="24"/>
          <w:highlight w:val="white"/>
        </w:rPr>
        <w:t>附：法定代表人身份证复印件</w:t>
      </w:r>
    </w:p>
    <w:p>
      <w:pPr>
        <w:spacing w:line="360" w:lineRule="auto"/>
        <w:ind w:firstLine="480" w:firstLineChars="200"/>
        <w:jc w:val="right"/>
        <w:rPr>
          <w:rFonts w:ascii="宋体" w:hAnsi="宋体"/>
          <w:sz w:val="24"/>
          <w:highlight w:val="white"/>
        </w:rPr>
      </w:pPr>
      <w:r>
        <w:rPr>
          <w:rFonts w:hint="eastAsia" w:ascii="宋体" w:hAnsi="宋体"/>
          <w:sz w:val="24"/>
          <w:highlight w:val="white"/>
        </w:rPr>
        <w:t xml:space="preserve">                                               </w:t>
      </w:r>
      <w:r>
        <w:rPr>
          <w:rFonts w:hint="eastAsia" w:ascii="宋体" w:hAnsi="宋体"/>
          <w:kern w:val="0"/>
          <w:sz w:val="24"/>
        </w:rPr>
        <w:t>磋商供应商</w:t>
      </w:r>
      <w:r>
        <w:rPr>
          <w:rFonts w:hint="eastAsia" w:ascii="宋体" w:hAnsi="宋体"/>
          <w:sz w:val="24"/>
          <w:highlight w:val="white"/>
        </w:rPr>
        <w:t xml:space="preserve">全称(盖单位公章)                                                     </w:t>
      </w:r>
    </w:p>
    <w:p>
      <w:pPr>
        <w:spacing w:line="360" w:lineRule="auto"/>
        <w:ind w:firstLine="480" w:firstLineChars="200"/>
        <w:jc w:val="right"/>
        <w:rPr>
          <w:rFonts w:ascii="宋体" w:hAnsi="宋体"/>
          <w:sz w:val="24"/>
          <w:highlight w:val="white"/>
        </w:rPr>
      </w:pPr>
      <w:r>
        <w:rPr>
          <w:rFonts w:hint="eastAsia" w:ascii="宋体" w:hAnsi="宋体"/>
          <w:sz w:val="24"/>
          <w:highlight w:val="white"/>
        </w:rPr>
        <w:t xml:space="preserve"> 年   月   日</w:t>
      </w:r>
    </w:p>
    <w:p>
      <w:pPr>
        <w:spacing w:line="360" w:lineRule="auto"/>
        <w:ind w:firstLine="480" w:firstLineChars="200"/>
        <w:jc w:val="right"/>
        <w:rPr>
          <w:rFonts w:ascii="宋体" w:hAnsi="宋体"/>
          <w:sz w:val="24"/>
          <w:highlight w:val="white"/>
        </w:rPr>
      </w:pPr>
    </w:p>
    <w:p>
      <w:pPr>
        <w:spacing w:line="360" w:lineRule="auto"/>
        <w:ind w:firstLine="560" w:firstLineChars="200"/>
        <w:rPr>
          <w:rFonts w:ascii="宋体" w:hAnsi="宋体" w:cs="宋体"/>
          <w:sz w:val="28"/>
          <w:szCs w:val="28"/>
        </w:rPr>
      </w:pPr>
    </w:p>
    <w:p>
      <w:pPr>
        <w:pStyle w:val="13"/>
        <w:spacing w:line="360" w:lineRule="auto"/>
        <w:rPr>
          <w:rFonts w:ascii="黑体" w:hAnsi="宋体" w:eastAsia="黑体"/>
          <w:sz w:val="32"/>
        </w:rPr>
      </w:pPr>
    </w:p>
    <w:p>
      <w:pPr>
        <w:pStyle w:val="13"/>
        <w:spacing w:line="360" w:lineRule="auto"/>
        <w:ind w:firstLine="697" w:firstLineChars="218"/>
        <w:jc w:val="center"/>
        <w:rPr>
          <w:rFonts w:ascii="黑体" w:hAnsi="宋体" w:eastAsia="黑体"/>
          <w:sz w:val="32"/>
        </w:rPr>
        <w:sectPr>
          <w:headerReference r:id="rId4" w:type="first"/>
          <w:headerReference r:id="rId3" w:type="default"/>
          <w:footerReference r:id="rId5" w:type="default"/>
          <w:footerReference r:id="rId6" w:type="even"/>
          <w:pgSz w:w="11906" w:h="16838"/>
          <w:pgMar w:top="1247" w:right="1274" w:bottom="794" w:left="1276" w:header="851" w:footer="992" w:gutter="0"/>
          <w:cols w:space="720" w:num="1"/>
          <w:docGrid w:type="lines" w:linePitch="312" w:charSpace="0"/>
        </w:sectPr>
      </w:pPr>
    </w:p>
    <w:p>
      <w:pPr>
        <w:spacing w:line="400" w:lineRule="exact"/>
        <w:rPr>
          <w:rFonts w:ascii="宋体" w:hAnsi="宋体" w:cs="宋体"/>
          <w:sz w:val="24"/>
          <w:highlight w:val="white"/>
        </w:rPr>
      </w:pPr>
    </w:p>
    <w:p>
      <w:pPr>
        <w:spacing w:line="400" w:lineRule="exact"/>
        <w:jc w:val="center"/>
        <w:rPr>
          <w:rFonts w:ascii="宋体" w:hAnsi="宋体" w:cs="宋体"/>
          <w:b/>
          <w:sz w:val="28"/>
          <w:szCs w:val="28"/>
        </w:rPr>
      </w:pPr>
      <w:r>
        <w:rPr>
          <w:rFonts w:hint="eastAsia" w:ascii="宋体" w:hAnsi="宋体" w:cs="宋体"/>
          <w:b/>
          <w:sz w:val="28"/>
          <w:szCs w:val="28"/>
          <w:highlight w:val="white"/>
        </w:rPr>
        <w:t>三、</w:t>
      </w:r>
      <w:r>
        <w:rPr>
          <w:rFonts w:hint="eastAsia" w:ascii="宋体" w:cs="宋体"/>
          <w:b/>
          <w:sz w:val="28"/>
          <w:szCs w:val="28"/>
        </w:rPr>
        <w:t>首次</w:t>
      </w:r>
      <w:r>
        <w:rPr>
          <w:rFonts w:hint="eastAsia" w:ascii="宋体" w:hAnsi="宋体" w:cs="宋体"/>
          <w:b/>
          <w:sz w:val="28"/>
          <w:szCs w:val="28"/>
          <w:highlight w:val="white"/>
        </w:rPr>
        <w:t>报价表（格式）</w:t>
      </w:r>
    </w:p>
    <w:p>
      <w:pPr>
        <w:spacing w:line="360" w:lineRule="auto"/>
        <w:ind w:hanging="1800"/>
        <w:jc w:val="center"/>
        <w:rPr>
          <w:sz w:val="24"/>
        </w:rPr>
      </w:pPr>
    </w:p>
    <w:tbl>
      <w:tblPr>
        <w:tblStyle w:val="23"/>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694"/>
        <w:gridCol w:w="1559"/>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1817" w:type="dxa"/>
            <w:vAlign w:val="center"/>
          </w:tcPr>
          <w:p>
            <w:pPr>
              <w:jc w:val="center"/>
              <w:rPr>
                <w:rFonts w:ascii="宋体" w:hAnsi="宋体"/>
                <w:sz w:val="28"/>
                <w:szCs w:val="28"/>
              </w:rPr>
            </w:pPr>
            <w:r>
              <w:rPr>
                <w:rFonts w:hint="eastAsia" w:ascii="宋体" w:hAnsi="宋体"/>
                <w:sz w:val="28"/>
                <w:szCs w:val="28"/>
              </w:rPr>
              <w:t>项目名称</w:t>
            </w:r>
          </w:p>
        </w:tc>
        <w:tc>
          <w:tcPr>
            <w:tcW w:w="2694" w:type="dxa"/>
            <w:vAlign w:val="center"/>
          </w:tcPr>
          <w:p>
            <w:pPr>
              <w:jc w:val="center"/>
              <w:rPr>
                <w:rFonts w:ascii="宋体" w:hAnsi="宋体"/>
                <w:sz w:val="28"/>
                <w:szCs w:val="28"/>
              </w:rPr>
            </w:pPr>
          </w:p>
        </w:tc>
        <w:tc>
          <w:tcPr>
            <w:tcW w:w="1559" w:type="dxa"/>
            <w:vAlign w:val="center"/>
          </w:tcPr>
          <w:p>
            <w:pPr>
              <w:jc w:val="center"/>
              <w:rPr>
                <w:rFonts w:ascii="宋体" w:hAnsi="宋体"/>
                <w:sz w:val="28"/>
                <w:szCs w:val="28"/>
              </w:rPr>
            </w:pPr>
            <w:r>
              <w:rPr>
                <w:rFonts w:hint="eastAsia" w:ascii="宋体" w:hAnsi="宋体"/>
                <w:sz w:val="28"/>
                <w:szCs w:val="28"/>
              </w:rPr>
              <w:t>项目编号</w:t>
            </w:r>
          </w:p>
        </w:tc>
        <w:tc>
          <w:tcPr>
            <w:tcW w:w="2665"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817" w:type="dxa"/>
            <w:vAlign w:val="center"/>
          </w:tcPr>
          <w:p>
            <w:pPr>
              <w:jc w:val="center"/>
              <w:rPr>
                <w:rFonts w:ascii="宋体" w:hAnsi="宋体"/>
                <w:sz w:val="28"/>
                <w:szCs w:val="28"/>
              </w:rPr>
            </w:pPr>
            <w:r>
              <w:rPr>
                <w:rFonts w:hint="eastAsia" w:ascii="宋体" w:hAnsi="宋体"/>
                <w:sz w:val="28"/>
                <w:szCs w:val="28"/>
              </w:rPr>
              <w:t>磋商供应商名称</w:t>
            </w:r>
          </w:p>
        </w:tc>
        <w:tc>
          <w:tcPr>
            <w:tcW w:w="6918"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1817" w:type="dxa"/>
            <w:vAlign w:val="center"/>
          </w:tcPr>
          <w:p>
            <w:pPr>
              <w:jc w:val="center"/>
              <w:rPr>
                <w:rFonts w:ascii="宋体" w:hAnsi="宋体"/>
                <w:sz w:val="28"/>
                <w:szCs w:val="28"/>
              </w:rPr>
            </w:pPr>
            <w:r>
              <w:rPr>
                <w:rFonts w:hint="eastAsia" w:ascii="宋体" w:hAnsi="宋体"/>
                <w:sz w:val="28"/>
                <w:szCs w:val="28"/>
              </w:rPr>
              <w:t>报价</w:t>
            </w:r>
          </w:p>
        </w:tc>
        <w:tc>
          <w:tcPr>
            <w:tcW w:w="6918" w:type="dxa"/>
            <w:gridSpan w:val="3"/>
            <w:vAlign w:val="center"/>
          </w:tcPr>
          <w:p>
            <w:pPr>
              <w:jc w:val="center"/>
              <w:rPr>
                <w:rFonts w:ascii="宋体" w:hAnsi="宋体"/>
                <w:sz w:val="28"/>
                <w:szCs w:val="28"/>
              </w:rPr>
            </w:pPr>
            <w:r>
              <w:rPr>
                <w:rFonts w:hint="eastAsia" w:ascii="宋体" w:hAnsi="宋体"/>
                <w:sz w:val="28"/>
                <w:szCs w:val="28"/>
              </w:rPr>
              <w:t>大写：元</w:t>
            </w:r>
          </w:p>
          <w:p>
            <w:pPr>
              <w:jc w:val="center"/>
              <w:rPr>
                <w:rFonts w:ascii="宋体" w:hAnsi="宋体"/>
                <w:sz w:val="28"/>
                <w:szCs w:val="28"/>
              </w:rPr>
            </w:pPr>
            <w:r>
              <w:rPr>
                <w:rFonts w:hint="eastAsia" w:ascii="宋体" w:hAnsi="宋体"/>
                <w:sz w:val="28"/>
                <w:szCs w:val="28"/>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1817" w:type="dxa"/>
            <w:vAlign w:val="center"/>
          </w:tcPr>
          <w:p>
            <w:pPr>
              <w:jc w:val="center"/>
              <w:rPr>
                <w:rFonts w:ascii="宋体" w:hAnsi="宋体"/>
                <w:sz w:val="28"/>
                <w:szCs w:val="28"/>
              </w:rPr>
            </w:pPr>
            <w:r>
              <w:rPr>
                <w:rFonts w:hint="eastAsia" w:ascii="宋体" w:hAnsi="宋体"/>
                <w:sz w:val="28"/>
                <w:szCs w:val="28"/>
              </w:rPr>
              <w:t>备注</w:t>
            </w:r>
          </w:p>
        </w:tc>
        <w:tc>
          <w:tcPr>
            <w:tcW w:w="6918" w:type="dxa"/>
            <w:gridSpan w:val="3"/>
            <w:vAlign w:val="center"/>
          </w:tcPr>
          <w:p>
            <w:pPr>
              <w:jc w:val="center"/>
              <w:rPr>
                <w:rFonts w:ascii="宋体" w:hAnsi="宋体"/>
                <w:sz w:val="28"/>
                <w:szCs w:val="28"/>
              </w:rPr>
            </w:pPr>
          </w:p>
        </w:tc>
      </w:tr>
    </w:tbl>
    <w:p>
      <w:pPr>
        <w:spacing w:line="360" w:lineRule="auto"/>
        <w:rPr>
          <w:rFonts w:ascii="宋体" w:hAnsi="宋体"/>
          <w:szCs w:val="18"/>
          <w:highlight w:val="white"/>
        </w:rPr>
      </w:pPr>
    </w:p>
    <w:p>
      <w:pPr>
        <w:spacing w:line="360" w:lineRule="auto"/>
        <w:rPr>
          <w:rFonts w:ascii="宋体" w:hAnsi="宋体"/>
          <w:szCs w:val="18"/>
          <w:highlight w:val="white"/>
        </w:rPr>
      </w:pPr>
    </w:p>
    <w:p>
      <w:pPr>
        <w:spacing w:line="360" w:lineRule="auto"/>
        <w:rPr>
          <w:rFonts w:ascii="宋体" w:hAnsi="宋体"/>
          <w:szCs w:val="18"/>
          <w:highlight w:val="white"/>
        </w:rPr>
      </w:pPr>
    </w:p>
    <w:p>
      <w:pPr>
        <w:spacing w:line="360" w:lineRule="auto"/>
        <w:rPr>
          <w:rFonts w:ascii="宋体" w:hAnsi="宋体"/>
          <w:szCs w:val="18"/>
          <w:highlight w:val="white"/>
        </w:rPr>
      </w:pPr>
      <w:r>
        <w:rPr>
          <w:rFonts w:hint="eastAsia" w:ascii="宋体" w:hAnsi="宋体"/>
          <w:szCs w:val="18"/>
          <w:highlight w:val="white"/>
        </w:rPr>
        <w:t xml:space="preserve">磋商供应商：(盖单位公章) </w:t>
      </w:r>
    </w:p>
    <w:p>
      <w:pPr>
        <w:spacing w:line="360" w:lineRule="auto"/>
        <w:rPr>
          <w:rFonts w:ascii="宋体" w:hAnsi="宋体"/>
          <w:szCs w:val="18"/>
          <w:highlight w:val="white"/>
        </w:rPr>
      </w:pPr>
    </w:p>
    <w:p>
      <w:pPr>
        <w:spacing w:line="360" w:lineRule="auto"/>
        <w:rPr>
          <w:rFonts w:ascii="宋体" w:hAnsi="宋体"/>
          <w:szCs w:val="18"/>
          <w:highlight w:val="white"/>
        </w:rPr>
      </w:pPr>
      <w:r>
        <w:rPr>
          <w:rFonts w:hint="eastAsia" w:ascii="宋体" w:hAnsi="宋体"/>
          <w:szCs w:val="18"/>
          <w:highlight w:val="white"/>
        </w:rPr>
        <w:t>法人代表或授权代表：</w:t>
      </w:r>
      <w:r>
        <w:rPr>
          <w:rFonts w:hint="eastAsia" w:ascii="宋体" w:hAnsi="宋体"/>
          <w:szCs w:val="21"/>
          <w:highlight w:val="white"/>
        </w:rPr>
        <w:t>（纸质响应文件中须签字或盖章）</w:t>
      </w:r>
    </w:p>
    <w:p>
      <w:pPr>
        <w:spacing w:line="360" w:lineRule="auto"/>
        <w:rPr>
          <w:rFonts w:ascii="宋体" w:hAnsi="宋体"/>
          <w:szCs w:val="18"/>
          <w:highlight w:val="white"/>
        </w:rPr>
      </w:pPr>
    </w:p>
    <w:p>
      <w:pPr>
        <w:spacing w:line="360" w:lineRule="auto"/>
        <w:rPr>
          <w:rFonts w:ascii="宋体" w:hAnsi="宋体"/>
          <w:szCs w:val="18"/>
          <w:highlight w:val="white"/>
        </w:rPr>
      </w:pPr>
      <w:r>
        <w:rPr>
          <w:rFonts w:hint="eastAsia" w:ascii="宋体" w:hAnsi="宋体"/>
          <w:szCs w:val="18"/>
          <w:highlight w:val="white"/>
        </w:rPr>
        <w:t xml:space="preserve">日期：                                </w:t>
      </w:r>
    </w:p>
    <w:p>
      <w:pPr>
        <w:spacing w:line="360" w:lineRule="auto"/>
        <w:rPr>
          <w:rFonts w:ascii="宋体" w:hAnsi="宋体"/>
          <w:szCs w:val="18"/>
          <w:highlight w:val="white"/>
        </w:rPr>
      </w:pPr>
    </w:p>
    <w:p>
      <w:pPr>
        <w:spacing w:line="360" w:lineRule="auto"/>
        <w:rPr>
          <w:rFonts w:ascii="宋体" w:hAnsi="宋体"/>
          <w:szCs w:val="18"/>
          <w:highlight w:val="white"/>
        </w:rPr>
      </w:pPr>
      <w:r>
        <w:rPr>
          <w:rFonts w:hint="eastAsia" w:ascii="宋体" w:hAnsi="宋体"/>
          <w:b/>
          <w:bCs/>
          <w:sz w:val="22"/>
          <w:szCs w:val="20"/>
          <w:highlight w:val="white"/>
        </w:rPr>
        <w:t>说明：</w:t>
      </w:r>
      <w:r>
        <w:rPr>
          <w:rFonts w:hint="eastAsia" w:ascii="宋体" w:hAnsi="宋体"/>
          <w:szCs w:val="18"/>
          <w:highlight w:val="white"/>
        </w:rPr>
        <w:t>1. 本表总报价应与申请函总报价一致。</w:t>
      </w:r>
    </w:p>
    <w:p>
      <w:pPr>
        <w:spacing w:before="240" w:after="480" w:line="500" w:lineRule="exact"/>
        <w:rPr>
          <w:rFonts w:ascii="宋体" w:hAnsi="宋体"/>
        </w:rPr>
      </w:pPr>
    </w:p>
    <w:p>
      <w:pPr>
        <w:spacing w:before="240" w:after="480" w:line="500" w:lineRule="exact"/>
        <w:rPr>
          <w:rFonts w:ascii="宋体" w:hAnsi="宋体"/>
        </w:rPr>
      </w:pPr>
    </w:p>
    <w:p>
      <w:pPr>
        <w:pStyle w:val="7"/>
        <w:rPr>
          <w:rFonts w:ascii="宋体" w:hAnsi="宋体"/>
          <w:szCs w:val="21"/>
          <w:highlight w:val="white"/>
        </w:rPr>
      </w:pPr>
      <w:r>
        <w:rPr>
          <w:rFonts w:hint="eastAsia" w:ascii="宋体" w:hAnsi="宋体"/>
          <w:b w:val="0"/>
          <w:sz w:val="21"/>
          <w:szCs w:val="21"/>
          <w:highlight w:val="white"/>
        </w:rPr>
        <w:t>四、</w:t>
      </w:r>
      <w:r>
        <w:rPr>
          <w:rFonts w:ascii="宋体" w:hAnsi="宋体"/>
          <w:b w:val="0"/>
          <w:sz w:val="21"/>
          <w:szCs w:val="21"/>
          <w:highlight w:val="white"/>
        </w:rPr>
        <w:t>投标分项报价表</w:t>
      </w:r>
      <w:r>
        <w:rPr>
          <w:rFonts w:hint="eastAsia" w:ascii="宋体" w:hAnsi="宋体"/>
          <w:b w:val="0"/>
          <w:sz w:val="21"/>
          <w:szCs w:val="21"/>
          <w:highlight w:val="white"/>
        </w:rPr>
        <w:t>（格式）</w:t>
      </w:r>
    </w:p>
    <w:p>
      <w:pPr>
        <w:pStyle w:val="7"/>
        <w:spacing w:before="0" w:after="0" w:line="240" w:lineRule="auto"/>
        <w:jc w:val="center"/>
        <w:rPr>
          <w:sz w:val="24"/>
          <w:szCs w:val="24"/>
        </w:rPr>
      </w:pPr>
      <w:r>
        <w:rPr>
          <w:rFonts w:ascii="宋体" w:hAnsi="宋体"/>
          <w:highlight w:val="white"/>
        </w:rPr>
        <w:t>投标分项报价表</w:t>
      </w:r>
    </w:p>
    <w:tbl>
      <w:tblPr>
        <w:tblStyle w:val="23"/>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71"/>
        <w:gridCol w:w="2913"/>
        <w:gridCol w:w="1691"/>
        <w:gridCol w:w="139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00" w:type="dxa"/>
            <w:noWrap/>
            <w:vAlign w:val="center"/>
          </w:tcPr>
          <w:p>
            <w:pPr>
              <w:widowControl/>
              <w:jc w:val="center"/>
              <w:rPr>
                <w:rFonts w:ascii="宋体" w:hAnsi="宋体"/>
                <w:sz w:val="24"/>
              </w:rPr>
            </w:pPr>
            <w:r>
              <w:rPr>
                <w:rFonts w:hint="eastAsia" w:ascii="宋体" w:hAnsi="宋体"/>
                <w:sz w:val="24"/>
              </w:rPr>
              <w:t>序号</w:t>
            </w:r>
          </w:p>
        </w:tc>
        <w:tc>
          <w:tcPr>
            <w:tcW w:w="1471" w:type="dxa"/>
            <w:noWrap/>
            <w:vAlign w:val="center"/>
          </w:tcPr>
          <w:p>
            <w:pPr>
              <w:widowControl/>
              <w:jc w:val="center"/>
              <w:rPr>
                <w:rFonts w:ascii="宋体" w:hAnsi="宋体"/>
                <w:sz w:val="24"/>
              </w:rPr>
            </w:pPr>
            <w:r>
              <w:rPr>
                <w:rFonts w:hint="eastAsia" w:ascii="宋体" w:hAnsi="宋体"/>
                <w:sz w:val="24"/>
              </w:rPr>
              <w:t>服务名称</w:t>
            </w:r>
          </w:p>
        </w:tc>
        <w:tc>
          <w:tcPr>
            <w:tcW w:w="2913" w:type="dxa"/>
            <w:noWrap/>
            <w:vAlign w:val="center"/>
          </w:tcPr>
          <w:p>
            <w:pPr>
              <w:widowControl/>
              <w:jc w:val="center"/>
              <w:rPr>
                <w:rFonts w:ascii="宋体" w:hAnsi="宋体"/>
                <w:sz w:val="24"/>
              </w:rPr>
            </w:pPr>
            <w:r>
              <w:rPr>
                <w:rFonts w:hint="eastAsia" w:ascii="宋体" w:hAnsi="宋体"/>
                <w:sz w:val="24"/>
              </w:rPr>
              <w:t>服务内容</w:t>
            </w:r>
          </w:p>
        </w:tc>
        <w:tc>
          <w:tcPr>
            <w:tcW w:w="1691" w:type="dxa"/>
            <w:noWrap/>
            <w:vAlign w:val="center"/>
          </w:tcPr>
          <w:p>
            <w:pPr>
              <w:widowControl/>
              <w:jc w:val="center"/>
              <w:rPr>
                <w:rFonts w:ascii="宋体" w:hAnsi="宋体"/>
                <w:sz w:val="24"/>
              </w:rPr>
            </w:pPr>
            <w:r>
              <w:rPr>
                <w:rFonts w:hint="eastAsia" w:ascii="宋体" w:hAnsi="宋体"/>
                <w:sz w:val="24"/>
              </w:rPr>
              <w:t>数量（项）</w:t>
            </w:r>
          </w:p>
        </w:tc>
        <w:tc>
          <w:tcPr>
            <w:tcW w:w="1390" w:type="dxa"/>
            <w:noWrap/>
            <w:vAlign w:val="center"/>
          </w:tcPr>
          <w:p>
            <w:pPr>
              <w:widowControl/>
              <w:jc w:val="center"/>
              <w:rPr>
                <w:rFonts w:ascii="宋体" w:hAnsi="宋体"/>
                <w:sz w:val="24"/>
              </w:rPr>
            </w:pPr>
            <w:r>
              <w:rPr>
                <w:rFonts w:hint="eastAsia" w:ascii="宋体" w:hAnsi="宋体"/>
                <w:sz w:val="24"/>
              </w:rPr>
              <w:t>单价</w:t>
            </w:r>
          </w:p>
          <w:p>
            <w:pPr>
              <w:widowControl/>
              <w:jc w:val="center"/>
              <w:rPr>
                <w:rFonts w:ascii="宋体" w:hAnsi="宋体"/>
                <w:sz w:val="24"/>
              </w:rPr>
            </w:pPr>
            <w:r>
              <w:rPr>
                <w:rFonts w:hint="eastAsia" w:ascii="宋体" w:hAnsi="宋体"/>
                <w:sz w:val="24"/>
              </w:rPr>
              <w:t>（</w:t>
            </w:r>
            <w:r>
              <w:rPr>
                <w:rFonts w:hint="eastAsia" w:ascii="宋体" w:hAnsi="宋体"/>
                <w:sz w:val="28"/>
                <w:szCs w:val="28"/>
              </w:rPr>
              <w:t>元</w:t>
            </w:r>
            <w:r>
              <w:rPr>
                <w:rFonts w:hint="eastAsia" w:ascii="宋体" w:hAnsi="宋体"/>
                <w:sz w:val="24"/>
              </w:rPr>
              <w:t>）</w:t>
            </w:r>
          </w:p>
        </w:tc>
        <w:tc>
          <w:tcPr>
            <w:tcW w:w="1105" w:type="dxa"/>
            <w:noWrap/>
            <w:vAlign w:val="center"/>
          </w:tcPr>
          <w:p>
            <w:pPr>
              <w:widowControl/>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sz w:val="24"/>
              </w:rPr>
            </w:pPr>
            <w:r>
              <w:rPr>
                <w:rFonts w:hint="eastAsia" w:ascii="宋体" w:hAnsi="宋体"/>
                <w:sz w:val="24"/>
              </w:rPr>
              <w:t>1</w:t>
            </w:r>
          </w:p>
        </w:tc>
        <w:tc>
          <w:tcPr>
            <w:tcW w:w="1471" w:type="dxa"/>
            <w:noWrap/>
            <w:vAlign w:val="center"/>
          </w:tcPr>
          <w:p>
            <w:pPr>
              <w:spacing w:line="360" w:lineRule="auto"/>
              <w:rPr>
                <w:rFonts w:ascii="宋体" w:hAnsi="宋体"/>
                <w:sz w:val="24"/>
              </w:rPr>
            </w:pPr>
          </w:p>
        </w:tc>
        <w:tc>
          <w:tcPr>
            <w:tcW w:w="2913" w:type="dxa"/>
            <w:noWrap/>
            <w:vAlign w:val="center"/>
          </w:tcPr>
          <w:p>
            <w:pPr>
              <w:spacing w:line="360" w:lineRule="auto"/>
              <w:rPr>
                <w:rFonts w:ascii="宋体" w:hAnsi="宋体"/>
                <w:sz w:val="24"/>
              </w:rPr>
            </w:pPr>
          </w:p>
        </w:tc>
        <w:tc>
          <w:tcPr>
            <w:tcW w:w="1691" w:type="dxa"/>
            <w:noWrap/>
            <w:vAlign w:val="center"/>
          </w:tcPr>
          <w:p>
            <w:pPr>
              <w:spacing w:line="360" w:lineRule="auto"/>
              <w:rPr>
                <w:rFonts w:ascii="宋体" w:hAnsi="宋体"/>
                <w:sz w:val="24"/>
              </w:rPr>
            </w:pPr>
          </w:p>
        </w:tc>
        <w:tc>
          <w:tcPr>
            <w:tcW w:w="1390" w:type="dxa"/>
            <w:noWrap/>
            <w:vAlign w:val="center"/>
          </w:tcPr>
          <w:p>
            <w:pPr>
              <w:spacing w:line="360" w:lineRule="auto"/>
              <w:rPr>
                <w:rFonts w:ascii="宋体" w:hAnsi="宋体"/>
                <w:sz w:val="24"/>
              </w:rPr>
            </w:pPr>
          </w:p>
        </w:tc>
        <w:tc>
          <w:tcPr>
            <w:tcW w:w="1105"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sz w:val="24"/>
              </w:rPr>
            </w:pPr>
            <w:r>
              <w:rPr>
                <w:rFonts w:hint="eastAsia" w:ascii="宋体" w:hAnsi="宋体"/>
                <w:sz w:val="24"/>
              </w:rPr>
              <w:t>2</w:t>
            </w:r>
          </w:p>
        </w:tc>
        <w:tc>
          <w:tcPr>
            <w:tcW w:w="1471" w:type="dxa"/>
            <w:noWrap/>
            <w:vAlign w:val="center"/>
          </w:tcPr>
          <w:p>
            <w:pPr>
              <w:spacing w:line="360" w:lineRule="auto"/>
              <w:rPr>
                <w:rFonts w:ascii="宋体" w:hAnsi="宋体"/>
                <w:sz w:val="24"/>
              </w:rPr>
            </w:pPr>
          </w:p>
        </w:tc>
        <w:tc>
          <w:tcPr>
            <w:tcW w:w="2913" w:type="dxa"/>
            <w:noWrap/>
            <w:vAlign w:val="center"/>
          </w:tcPr>
          <w:p>
            <w:pPr>
              <w:spacing w:line="360" w:lineRule="auto"/>
              <w:rPr>
                <w:rFonts w:ascii="宋体" w:hAnsi="宋体"/>
                <w:sz w:val="24"/>
              </w:rPr>
            </w:pPr>
          </w:p>
        </w:tc>
        <w:tc>
          <w:tcPr>
            <w:tcW w:w="1691" w:type="dxa"/>
            <w:noWrap/>
            <w:vAlign w:val="center"/>
          </w:tcPr>
          <w:p>
            <w:pPr>
              <w:spacing w:line="360" w:lineRule="auto"/>
              <w:rPr>
                <w:rFonts w:ascii="宋体" w:hAnsi="宋体"/>
                <w:sz w:val="24"/>
              </w:rPr>
            </w:pPr>
          </w:p>
        </w:tc>
        <w:tc>
          <w:tcPr>
            <w:tcW w:w="1390" w:type="dxa"/>
            <w:noWrap/>
            <w:vAlign w:val="center"/>
          </w:tcPr>
          <w:p>
            <w:pPr>
              <w:spacing w:line="360" w:lineRule="auto"/>
              <w:rPr>
                <w:rFonts w:ascii="宋体" w:hAnsi="宋体"/>
                <w:sz w:val="24"/>
              </w:rPr>
            </w:pPr>
          </w:p>
        </w:tc>
        <w:tc>
          <w:tcPr>
            <w:tcW w:w="1105"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sz w:val="24"/>
              </w:rPr>
            </w:pPr>
            <w:r>
              <w:rPr>
                <w:rFonts w:hint="eastAsia" w:ascii="宋体" w:hAnsi="宋体"/>
                <w:sz w:val="24"/>
              </w:rPr>
              <w:t>3</w:t>
            </w:r>
          </w:p>
        </w:tc>
        <w:tc>
          <w:tcPr>
            <w:tcW w:w="1471" w:type="dxa"/>
            <w:noWrap/>
            <w:vAlign w:val="center"/>
          </w:tcPr>
          <w:p>
            <w:pPr>
              <w:spacing w:line="360" w:lineRule="auto"/>
              <w:rPr>
                <w:rFonts w:ascii="宋体" w:hAnsi="宋体"/>
                <w:sz w:val="24"/>
              </w:rPr>
            </w:pPr>
          </w:p>
        </w:tc>
        <w:tc>
          <w:tcPr>
            <w:tcW w:w="2913" w:type="dxa"/>
            <w:noWrap/>
            <w:vAlign w:val="center"/>
          </w:tcPr>
          <w:p>
            <w:pPr>
              <w:spacing w:line="360" w:lineRule="auto"/>
              <w:rPr>
                <w:rFonts w:ascii="宋体" w:hAnsi="宋体"/>
                <w:sz w:val="24"/>
              </w:rPr>
            </w:pPr>
          </w:p>
        </w:tc>
        <w:tc>
          <w:tcPr>
            <w:tcW w:w="1691" w:type="dxa"/>
            <w:noWrap/>
            <w:vAlign w:val="center"/>
          </w:tcPr>
          <w:p>
            <w:pPr>
              <w:spacing w:line="360" w:lineRule="auto"/>
              <w:rPr>
                <w:rFonts w:ascii="宋体" w:hAnsi="宋体"/>
                <w:sz w:val="24"/>
              </w:rPr>
            </w:pPr>
          </w:p>
        </w:tc>
        <w:tc>
          <w:tcPr>
            <w:tcW w:w="1390" w:type="dxa"/>
            <w:noWrap/>
            <w:vAlign w:val="center"/>
          </w:tcPr>
          <w:p>
            <w:pPr>
              <w:spacing w:line="360" w:lineRule="auto"/>
              <w:rPr>
                <w:rFonts w:ascii="宋体" w:hAnsi="宋体"/>
                <w:sz w:val="24"/>
              </w:rPr>
            </w:pPr>
          </w:p>
        </w:tc>
        <w:tc>
          <w:tcPr>
            <w:tcW w:w="1105"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sz w:val="24"/>
              </w:rPr>
            </w:pPr>
            <w:r>
              <w:rPr>
                <w:rFonts w:hint="eastAsia" w:ascii="宋体" w:hAnsi="宋体"/>
                <w:sz w:val="24"/>
              </w:rPr>
              <w:t>……</w:t>
            </w:r>
          </w:p>
        </w:tc>
        <w:tc>
          <w:tcPr>
            <w:tcW w:w="1471" w:type="dxa"/>
            <w:noWrap/>
            <w:vAlign w:val="center"/>
          </w:tcPr>
          <w:p>
            <w:pPr>
              <w:spacing w:line="360" w:lineRule="auto"/>
              <w:rPr>
                <w:rFonts w:ascii="宋体" w:hAnsi="宋体"/>
                <w:sz w:val="24"/>
              </w:rPr>
            </w:pPr>
          </w:p>
        </w:tc>
        <w:tc>
          <w:tcPr>
            <w:tcW w:w="2913" w:type="dxa"/>
            <w:noWrap/>
            <w:vAlign w:val="center"/>
          </w:tcPr>
          <w:p>
            <w:pPr>
              <w:spacing w:line="360" w:lineRule="auto"/>
              <w:rPr>
                <w:rFonts w:ascii="宋体" w:hAnsi="宋体"/>
                <w:sz w:val="24"/>
              </w:rPr>
            </w:pPr>
          </w:p>
        </w:tc>
        <w:tc>
          <w:tcPr>
            <w:tcW w:w="1691" w:type="dxa"/>
            <w:noWrap/>
            <w:vAlign w:val="center"/>
          </w:tcPr>
          <w:p>
            <w:pPr>
              <w:spacing w:line="360" w:lineRule="auto"/>
              <w:rPr>
                <w:rFonts w:ascii="宋体" w:hAnsi="宋体"/>
                <w:sz w:val="24"/>
              </w:rPr>
            </w:pPr>
          </w:p>
        </w:tc>
        <w:tc>
          <w:tcPr>
            <w:tcW w:w="1390" w:type="dxa"/>
            <w:noWrap/>
            <w:vAlign w:val="center"/>
          </w:tcPr>
          <w:p>
            <w:pPr>
              <w:spacing w:line="360" w:lineRule="auto"/>
              <w:rPr>
                <w:rFonts w:ascii="宋体" w:hAnsi="宋体"/>
                <w:sz w:val="24"/>
              </w:rPr>
            </w:pPr>
          </w:p>
        </w:tc>
        <w:tc>
          <w:tcPr>
            <w:tcW w:w="1105"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sz w:val="24"/>
              </w:rPr>
            </w:pPr>
          </w:p>
        </w:tc>
        <w:tc>
          <w:tcPr>
            <w:tcW w:w="1471" w:type="dxa"/>
            <w:noWrap/>
            <w:vAlign w:val="center"/>
          </w:tcPr>
          <w:p>
            <w:pPr>
              <w:spacing w:line="360" w:lineRule="auto"/>
              <w:rPr>
                <w:rFonts w:ascii="宋体" w:hAnsi="宋体"/>
                <w:sz w:val="24"/>
              </w:rPr>
            </w:pPr>
            <w:r>
              <w:rPr>
                <w:rFonts w:hint="eastAsia" w:ascii="宋体" w:hAnsi="宋体"/>
                <w:sz w:val="24"/>
              </w:rPr>
              <w:t>其他费用</w:t>
            </w:r>
          </w:p>
        </w:tc>
        <w:tc>
          <w:tcPr>
            <w:tcW w:w="2913" w:type="dxa"/>
            <w:noWrap/>
            <w:vAlign w:val="center"/>
          </w:tcPr>
          <w:p>
            <w:pPr>
              <w:spacing w:line="360" w:lineRule="auto"/>
              <w:rPr>
                <w:rFonts w:ascii="宋体" w:hAnsi="宋体"/>
                <w:sz w:val="24"/>
              </w:rPr>
            </w:pPr>
          </w:p>
        </w:tc>
        <w:tc>
          <w:tcPr>
            <w:tcW w:w="1691" w:type="dxa"/>
            <w:noWrap/>
            <w:vAlign w:val="center"/>
          </w:tcPr>
          <w:p>
            <w:pPr>
              <w:spacing w:line="360" w:lineRule="auto"/>
              <w:rPr>
                <w:rFonts w:ascii="宋体" w:hAnsi="宋体"/>
                <w:sz w:val="24"/>
              </w:rPr>
            </w:pPr>
          </w:p>
        </w:tc>
        <w:tc>
          <w:tcPr>
            <w:tcW w:w="1390" w:type="dxa"/>
            <w:noWrap/>
            <w:vAlign w:val="center"/>
          </w:tcPr>
          <w:p>
            <w:pPr>
              <w:spacing w:line="360" w:lineRule="auto"/>
              <w:rPr>
                <w:rFonts w:ascii="宋体" w:hAnsi="宋体"/>
                <w:sz w:val="24"/>
              </w:rPr>
            </w:pPr>
          </w:p>
        </w:tc>
        <w:tc>
          <w:tcPr>
            <w:tcW w:w="1105"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sz w:val="24"/>
              </w:rPr>
            </w:pPr>
          </w:p>
        </w:tc>
        <w:tc>
          <w:tcPr>
            <w:tcW w:w="1471" w:type="dxa"/>
            <w:noWrap/>
            <w:vAlign w:val="center"/>
          </w:tcPr>
          <w:p>
            <w:pPr>
              <w:spacing w:line="360" w:lineRule="auto"/>
              <w:rPr>
                <w:rFonts w:ascii="宋体" w:hAnsi="宋体"/>
                <w:sz w:val="24"/>
              </w:rPr>
            </w:pPr>
          </w:p>
        </w:tc>
        <w:tc>
          <w:tcPr>
            <w:tcW w:w="2913" w:type="dxa"/>
            <w:noWrap/>
            <w:vAlign w:val="center"/>
          </w:tcPr>
          <w:p>
            <w:pPr>
              <w:spacing w:line="360" w:lineRule="auto"/>
              <w:rPr>
                <w:rFonts w:ascii="宋体" w:hAnsi="宋体"/>
                <w:sz w:val="24"/>
              </w:rPr>
            </w:pPr>
          </w:p>
        </w:tc>
        <w:tc>
          <w:tcPr>
            <w:tcW w:w="1691" w:type="dxa"/>
            <w:noWrap/>
            <w:vAlign w:val="center"/>
          </w:tcPr>
          <w:p>
            <w:pPr>
              <w:spacing w:line="360" w:lineRule="auto"/>
              <w:rPr>
                <w:rFonts w:ascii="宋体" w:hAnsi="宋体"/>
                <w:sz w:val="24"/>
              </w:rPr>
            </w:pPr>
          </w:p>
        </w:tc>
        <w:tc>
          <w:tcPr>
            <w:tcW w:w="1390" w:type="dxa"/>
            <w:noWrap/>
            <w:vAlign w:val="center"/>
          </w:tcPr>
          <w:p>
            <w:pPr>
              <w:spacing w:line="360" w:lineRule="auto"/>
              <w:rPr>
                <w:rFonts w:ascii="宋体" w:hAnsi="宋体"/>
                <w:sz w:val="24"/>
              </w:rPr>
            </w:pPr>
          </w:p>
        </w:tc>
        <w:tc>
          <w:tcPr>
            <w:tcW w:w="1105"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gridSpan w:val="2"/>
            <w:noWrap/>
            <w:vAlign w:val="center"/>
          </w:tcPr>
          <w:p>
            <w:pPr>
              <w:spacing w:line="360" w:lineRule="auto"/>
              <w:rPr>
                <w:rFonts w:ascii="宋体" w:hAnsi="宋体"/>
                <w:sz w:val="24"/>
              </w:rPr>
            </w:pPr>
            <w:r>
              <w:rPr>
                <w:rFonts w:hint="eastAsia" w:ascii="宋体" w:hAnsi="宋体"/>
                <w:sz w:val="24"/>
              </w:rPr>
              <w:t>报价总计（</w:t>
            </w:r>
            <w:r>
              <w:rPr>
                <w:rFonts w:hint="eastAsia" w:ascii="宋体" w:hAnsi="宋体"/>
                <w:sz w:val="28"/>
                <w:szCs w:val="28"/>
              </w:rPr>
              <w:t>元</w:t>
            </w:r>
            <w:r>
              <w:rPr>
                <w:rFonts w:hint="eastAsia" w:ascii="宋体" w:hAnsi="宋体"/>
                <w:sz w:val="24"/>
              </w:rPr>
              <w:t>）</w:t>
            </w:r>
          </w:p>
        </w:tc>
        <w:tc>
          <w:tcPr>
            <w:tcW w:w="7099" w:type="dxa"/>
            <w:gridSpan w:val="4"/>
            <w:noWrap/>
            <w:vAlign w:val="center"/>
          </w:tcPr>
          <w:p>
            <w:pPr>
              <w:spacing w:line="360" w:lineRule="auto"/>
              <w:rPr>
                <w:rFonts w:ascii="宋体" w:hAnsi="宋体"/>
                <w:sz w:val="24"/>
              </w:rPr>
            </w:pPr>
          </w:p>
        </w:tc>
      </w:tr>
    </w:tbl>
    <w:p>
      <w:pPr>
        <w:spacing w:line="300" w:lineRule="auto"/>
        <w:rPr>
          <w:rFonts w:ascii="宋体" w:hAnsi="宋体"/>
          <w:szCs w:val="21"/>
          <w:highlight w:val="white"/>
        </w:rPr>
      </w:pPr>
    </w:p>
    <w:p>
      <w:pPr>
        <w:spacing w:line="300" w:lineRule="auto"/>
        <w:rPr>
          <w:rFonts w:ascii="宋体" w:hAnsi="宋体"/>
          <w:szCs w:val="21"/>
        </w:rPr>
      </w:pPr>
      <w:r>
        <w:rPr>
          <w:rFonts w:hint="eastAsia" w:ascii="宋体" w:hAnsi="宋体"/>
          <w:szCs w:val="21"/>
          <w:highlight w:val="white"/>
        </w:rPr>
        <w:t>磋商供应商：(盖单位公章</w:t>
      </w:r>
      <w:r>
        <w:rPr>
          <w:rFonts w:ascii="宋体" w:hAnsi="宋体"/>
          <w:szCs w:val="21"/>
          <w:highlight w:val="white"/>
        </w:rPr>
        <w:t>)</w:t>
      </w:r>
    </w:p>
    <w:p>
      <w:pPr>
        <w:spacing w:line="300" w:lineRule="auto"/>
        <w:rPr>
          <w:rFonts w:ascii="宋体" w:hAnsi="宋体"/>
          <w:szCs w:val="21"/>
          <w:highlight w:val="white"/>
        </w:rPr>
      </w:pPr>
      <w:r>
        <w:rPr>
          <w:rFonts w:hint="eastAsia" w:ascii="宋体" w:hAnsi="宋体"/>
          <w:szCs w:val="21"/>
          <w:highlight w:val="white"/>
        </w:rPr>
        <w:t>法人代表或授权代表：（纸质响应文件中须签字或盖章）</w:t>
      </w:r>
    </w:p>
    <w:p>
      <w:pPr>
        <w:spacing w:line="300" w:lineRule="auto"/>
        <w:rPr>
          <w:rFonts w:ascii="宋体" w:hAnsi="宋体"/>
          <w:szCs w:val="21"/>
          <w:highlight w:val="white"/>
        </w:rPr>
      </w:pPr>
    </w:p>
    <w:p>
      <w:pPr>
        <w:spacing w:line="360" w:lineRule="exact"/>
        <w:rPr>
          <w:rFonts w:ascii="宋体" w:hAnsi="宋体"/>
        </w:rPr>
      </w:pPr>
      <w:r>
        <w:rPr>
          <w:rFonts w:ascii="宋体" w:hAnsi="宋体"/>
          <w:highlight w:val="white"/>
        </w:rPr>
        <w:t>注：1、如果按单价计算的结果与总价不一致，以单价为准修正总价。</w:t>
      </w:r>
      <w:r>
        <w:rPr>
          <w:rFonts w:ascii="宋体" w:hAnsi="宋体"/>
          <w:highlight w:val="white"/>
        </w:rPr>
        <w:br w:type="textWrapping"/>
      </w:r>
      <w:r>
        <w:rPr>
          <w:rFonts w:ascii="宋体" w:hAnsi="宋体"/>
          <w:highlight w:val="white"/>
        </w:rPr>
        <w:t>    2、如果不提供详细分项报价将视为没有实质性响应招标文件。</w:t>
      </w:r>
      <w:r>
        <w:rPr>
          <w:rFonts w:ascii="宋体" w:hAnsi="宋体"/>
          <w:highlight w:val="white"/>
        </w:rPr>
        <w:br w:type="textWrapping"/>
      </w:r>
      <w:r>
        <w:rPr>
          <w:rFonts w:ascii="宋体" w:hAnsi="宋体"/>
          <w:highlight w:val="white"/>
        </w:rPr>
        <w:t>    3、上述单价为综合单价，应包含一切税费。</w:t>
      </w:r>
    </w:p>
    <w:p>
      <w:pPr>
        <w:spacing w:line="360" w:lineRule="exact"/>
        <w:ind w:firstLine="411" w:firstLineChars="196"/>
        <w:rPr>
          <w:rFonts w:ascii="宋体" w:hAnsi="宋体"/>
        </w:rPr>
      </w:pPr>
      <w:r>
        <w:rPr>
          <w:rFonts w:ascii="宋体" w:hAnsi="宋体"/>
          <w:highlight w:val="white"/>
        </w:rPr>
        <w:t>4、</w:t>
      </w:r>
      <w:r>
        <w:rPr>
          <w:rFonts w:hint="eastAsia" w:ascii="宋体" w:hAnsi="宋体"/>
          <w:highlight w:val="white"/>
        </w:rPr>
        <w:t>磋商供应商</w:t>
      </w:r>
      <w:r>
        <w:rPr>
          <w:rFonts w:ascii="宋体" w:hAnsi="宋体"/>
          <w:highlight w:val="white"/>
        </w:rPr>
        <w:t>根据项目实际填写，表中单项，项目</w:t>
      </w:r>
      <w:r>
        <w:rPr>
          <w:rFonts w:hint="eastAsia" w:ascii="宋体" w:hAnsi="宋体"/>
          <w:highlight w:val="white"/>
        </w:rPr>
        <w:t>采购</w:t>
      </w:r>
      <w:r>
        <w:rPr>
          <w:rFonts w:ascii="宋体" w:hAnsi="宋体"/>
          <w:highlight w:val="white"/>
        </w:rPr>
        <w:t>要求不涉及的可留空或自行调整。</w:t>
      </w:r>
    </w:p>
    <w:p>
      <w:pPr>
        <w:spacing w:line="360" w:lineRule="exact"/>
        <w:ind w:firstLine="411" w:firstLineChars="196"/>
        <w:rPr>
          <w:rFonts w:ascii="宋体" w:hAnsi="宋体"/>
        </w:rPr>
      </w:pPr>
      <w:r>
        <w:rPr>
          <w:rFonts w:ascii="宋体" w:hAnsi="宋体"/>
          <w:highlight w:val="white"/>
        </w:rPr>
        <w:t>5、表格不够可以自行加页；具体配置请投标人填写完全，没有填写完全的则按无此配置评</w:t>
      </w:r>
      <w:r>
        <w:rPr>
          <w:rFonts w:hint="eastAsia" w:ascii="宋体" w:hAnsi="宋体"/>
          <w:highlight w:val="white"/>
        </w:rPr>
        <w:t>审</w:t>
      </w:r>
      <w:r>
        <w:rPr>
          <w:rFonts w:ascii="宋体" w:hAnsi="宋体"/>
          <w:highlight w:val="white"/>
        </w:rPr>
        <w:t>。</w:t>
      </w:r>
    </w:p>
    <w:p>
      <w:pPr>
        <w:tabs>
          <w:tab w:val="center" w:pos="4629"/>
        </w:tabs>
        <w:spacing w:before="240" w:after="480" w:line="500" w:lineRule="exact"/>
        <w:jc w:val="center"/>
        <w:rPr>
          <w:rFonts w:ascii="宋体" w:hAnsi="宋体"/>
          <w:b/>
          <w:sz w:val="28"/>
          <w:szCs w:val="28"/>
        </w:rPr>
      </w:pPr>
    </w:p>
    <w:p>
      <w:pPr>
        <w:tabs>
          <w:tab w:val="center" w:pos="4629"/>
        </w:tabs>
        <w:spacing w:before="240" w:after="480" w:line="500" w:lineRule="exact"/>
        <w:jc w:val="center"/>
        <w:rPr>
          <w:rFonts w:ascii="宋体" w:hAnsi="宋体"/>
          <w:b/>
          <w:sz w:val="28"/>
          <w:szCs w:val="28"/>
        </w:rPr>
      </w:pPr>
    </w:p>
    <w:p>
      <w:pPr>
        <w:tabs>
          <w:tab w:val="center" w:pos="4629"/>
        </w:tabs>
        <w:spacing w:before="240" w:after="480" w:line="500" w:lineRule="exact"/>
        <w:jc w:val="center"/>
        <w:rPr>
          <w:rFonts w:ascii="宋体" w:hAnsi="宋体"/>
          <w:b/>
          <w:sz w:val="28"/>
          <w:szCs w:val="28"/>
        </w:rPr>
      </w:pPr>
    </w:p>
    <w:p>
      <w:pPr>
        <w:tabs>
          <w:tab w:val="center" w:pos="4629"/>
        </w:tabs>
        <w:spacing w:before="240" w:after="480" w:line="500" w:lineRule="exact"/>
        <w:jc w:val="center"/>
        <w:rPr>
          <w:rFonts w:ascii="宋体" w:hAnsi="宋体"/>
          <w:b/>
          <w:sz w:val="28"/>
          <w:szCs w:val="28"/>
        </w:rPr>
      </w:pPr>
    </w:p>
    <w:p>
      <w:pPr>
        <w:tabs>
          <w:tab w:val="center" w:pos="4629"/>
        </w:tabs>
        <w:spacing w:before="240" w:after="480" w:line="500" w:lineRule="exact"/>
        <w:jc w:val="center"/>
        <w:rPr>
          <w:rFonts w:ascii="宋体" w:hAnsi="宋体"/>
          <w:b/>
          <w:sz w:val="28"/>
          <w:szCs w:val="28"/>
        </w:rPr>
      </w:pPr>
    </w:p>
    <w:p>
      <w:pPr>
        <w:pStyle w:val="7"/>
        <w:spacing w:before="0" w:after="0" w:line="240" w:lineRule="auto"/>
        <w:rPr>
          <w:rFonts w:ascii="宋体" w:hAnsi="宋体"/>
          <w:szCs w:val="21"/>
          <w:highlight w:val="white"/>
        </w:rPr>
      </w:pPr>
      <w:r>
        <w:rPr>
          <w:rFonts w:hint="eastAsia" w:ascii="宋体" w:hAnsi="宋体"/>
          <w:b w:val="0"/>
          <w:sz w:val="21"/>
          <w:szCs w:val="21"/>
          <w:highlight w:val="white"/>
        </w:rPr>
        <w:t>五、拟任本项目负责人情况一览表</w:t>
      </w:r>
      <w:r>
        <w:rPr>
          <w:rFonts w:ascii="宋体" w:hAnsi="宋体"/>
          <w:b w:val="0"/>
          <w:sz w:val="21"/>
          <w:szCs w:val="21"/>
          <w:highlight w:val="white"/>
        </w:rPr>
        <w:t>（</w:t>
      </w:r>
      <w:r>
        <w:rPr>
          <w:rFonts w:hint="eastAsia" w:ascii="宋体" w:hAnsi="宋体"/>
          <w:b w:val="0"/>
          <w:sz w:val="21"/>
          <w:szCs w:val="21"/>
          <w:highlight w:val="white"/>
        </w:rPr>
        <w:t>如有）</w:t>
      </w:r>
    </w:p>
    <w:p>
      <w:pPr>
        <w:pStyle w:val="7"/>
        <w:jc w:val="center"/>
        <w:rPr>
          <w:rFonts w:ascii="黑体" w:hAnsi="黑体" w:eastAsia="黑体"/>
          <w:highlight w:val="white"/>
        </w:rPr>
      </w:pPr>
      <w:r>
        <w:rPr>
          <w:rFonts w:hint="eastAsia" w:ascii="宋体" w:hAnsi="宋体" w:cs="宋体"/>
          <w:b w:val="0"/>
          <w:highlight w:val="white"/>
        </w:rPr>
        <w:t>拟任本项目负责人情况一览表</w:t>
      </w:r>
    </w:p>
    <w:tbl>
      <w:tblPr>
        <w:tblStyle w:val="23"/>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63"/>
        <w:gridCol w:w="1364"/>
        <w:gridCol w:w="1296"/>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noWrap/>
          </w:tcPr>
          <w:p>
            <w:pPr>
              <w:pStyle w:val="7"/>
              <w:jc w:val="center"/>
              <w:rPr>
                <w:rFonts w:ascii="宋体" w:hAnsi="宋体"/>
                <w:b w:val="0"/>
                <w:sz w:val="21"/>
                <w:szCs w:val="21"/>
                <w:highlight w:val="white"/>
              </w:rPr>
            </w:pPr>
            <w:r>
              <w:rPr>
                <w:rFonts w:hint="eastAsia" w:ascii="宋体" w:hAnsi="宋体"/>
                <w:b w:val="0"/>
                <w:sz w:val="21"/>
                <w:szCs w:val="21"/>
                <w:highlight w:val="white"/>
              </w:rPr>
              <w:t>姓名</w:t>
            </w:r>
          </w:p>
        </w:tc>
        <w:tc>
          <w:tcPr>
            <w:tcW w:w="1063" w:type="dxa"/>
            <w:noWrap/>
          </w:tcPr>
          <w:p>
            <w:pPr>
              <w:pStyle w:val="7"/>
              <w:jc w:val="center"/>
              <w:rPr>
                <w:rFonts w:ascii="宋体" w:hAnsi="宋体"/>
                <w:b w:val="0"/>
                <w:sz w:val="21"/>
                <w:szCs w:val="21"/>
                <w:highlight w:val="white"/>
              </w:rPr>
            </w:pPr>
            <w:r>
              <w:rPr>
                <w:rFonts w:hint="eastAsia" w:ascii="宋体" w:hAnsi="宋体"/>
                <w:b w:val="0"/>
                <w:sz w:val="21"/>
                <w:szCs w:val="21"/>
                <w:highlight w:val="white"/>
              </w:rPr>
              <w:t>年龄</w:t>
            </w:r>
          </w:p>
        </w:tc>
        <w:tc>
          <w:tcPr>
            <w:tcW w:w="1364" w:type="dxa"/>
            <w:noWrap/>
          </w:tcPr>
          <w:p>
            <w:pPr>
              <w:pStyle w:val="7"/>
              <w:jc w:val="center"/>
              <w:rPr>
                <w:rFonts w:ascii="宋体" w:hAnsi="宋体"/>
                <w:b w:val="0"/>
                <w:sz w:val="21"/>
                <w:szCs w:val="21"/>
                <w:highlight w:val="white"/>
              </w:rPr>
            </w:pPr>
            <w:r>
              <w:rPr>
                <w:rFonts w:hint="eastAsia" w:ascii="宋体" w:hAnsi="宋体"/>
                <w:b w:val="0"/>
                <w:sz w:val="21"/>
                <w:szCs w:val="21"/>
                <w:highlight w:val="white"/>
              </w:rPr>
              <w:t>职称及等级</w:t>
            </w:r>
          </w:p>
        </w:tc>
        <w:tc>
          <w:tcPr>
            <w:tcW w:w="1296" w:type="dxa"/>
            <w:noWrap/>
          </w:tcPr>
          <w:p>
            <w:pPr>
              <w:pStyle w:val="7"/>
              <w:jc w:val="center"/>
              <w:rPr>
                <w:rFonts w:ascii="宋体" w:hAnsi="宋体"/>
                <w:b w:val="0"/>
                <w:sz w:val="21"/>
                <w:szCs w:val="21"/>
                <w:highlight w:val="white"/>
              </w:rPr>
            </w:pPr>
            <w:r>
              <w:rPr>
                <w:rFonts w:hint="eastAsia" w:ascii="宋体" w:hAnsi="宋体"/>
                <w:b w:val="0"/>
                <w:sz w:val="21"/>
                <w:szCs w:val="21"/>
                <w:highlight w:val="white"/>
              </w:rPr>
              <w:t>职业资格</w:t>
            </w:r>
          </w:p>
        </w:tc>
        <w:tc>
          <w:tcPr>
            <w:tcW w:w="4775" w:type="dxa"/>
            <w:noWrap/>
          </w:tcPr>
          <w:p>
            <w:pPr>
              <w:pStyle w:val="7"/>
              <w:jc w:val="center"/>
              <w:rPr>
                <w:rFonts w:ascii="宋体" w:hAnsi="宋体"/>
                <w:b w:val="0"/>
                <w:sz w:val="21"/>
                <w:szCs w:val="21"/>
                <w:highlight w:val="white"/>
              </w:rPr>
            </w:pPr>
            <w:r>
              <w:rPr>
                <w:rFonts w:hint="eastAsia" w:ascii="宋体" w:hAnsi="宋体"/>
                <w:b w:val="0"/>
                <w:sz w:val="21"/>
                <w:szCs w:val="21"/>
                <w:highlight w:val="white"/>
              </w:rPr>
              <w:t>从事相关经历（简历）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noWrap/>
          </w:tcPr>
          <w:p>
            <w:pPr>
              <w:pStyle w:val="7"/>
              <w:jc w:val="cente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p>
            <w:pPr>
              <w:rPr>
                <w:rFonts w:ascii="宋体" w:hAnsi="宋体"/>
                <w:bCs/>
                <w:szCs w:val="21"/>
                <w:highlight w:val="white"/>
              </w:rPr>
            </w:pPr>
          </w:p>
        </w:tc>
        <w:tc>
          <w:tcPr>
            <w:tcW w:w="1063" w:type="dxa"/>
            <w:noWrap/>
          </w:tcPr>
          <w:p>
            <w:pPr>
              <w:pStyle w:val="7"/>
              <w:jc w:val="center"/>
              <w:rPr>
                <w:rFonts w:ascii="宋体" w:hAnsi="宋体"/>
                <w:b w:val="0"/>
                <w:sz w:val="21"/>
                <w:szCs w:val="21"/>
                <w:highlight w:val="white"/>
              </w:rPr>
            </w:pPr>
          </w:p>
        </w:tc>
        <w:tc>
          <w:tcPr>
            <w:tcW w:w="1364" w:type="dxa"/>
            <w:noWrap/>
          </w:tcPr>
          <w:p>
            <w:pPr>
              <w:pStyle w:val="7"/>
              <w:jc w:val="center"/>
              <w:rPr>
                <w:rFonts w:ascii="宋体" w:hAnsi="宋体"/>
                <w:b w:val="0"/>
                <w:sz w:val="21"/>
                <w:szCs w:val="21"/>
                <w:highlight w:val="white"/>
              </w:rPr>
            </w:pPr>
          </w:p>
        </w:tc>
        <w:tc>
          <w:tcPr>
            <w:tcW w:w="1296" w:type="dxa"/>
            <w:noWrap/>
          </w:tcPr>
          <w:p>
            <w:pPr>
              <w:pStyle w:val="7"/>
              <w:jc w:val="center"/>
              <w:rPr>
                <w:rFonts w:ascii="宋体" w:hAnsi="宋体"/>
                <w:b w:val="0"/>
                <w:sz w:val="21"/>
                <w:szCs w:val="21"/>
                <w:highlight w:val="white"/>
              </w:rPr>
            </w:pPr>
          </w:p>
        </w:tc>
        <w:tc>
          <w:tcPr>
            <w:tcW w:w="4775" w:type="dxa"/>
            <w:noWrap/>
          </w:tcPr>
          <w:p>
            <w:pPr>
              <w:pStyle w:val="7"/>
              <w:jc w:val="center"/>
              <w:rPr>
                <w:rFonts w:ascii="宋体" w:hAnsi="宋体"/>
                <w:b w:val="0"/>
                <w:sz w:val="21"/>
                <w:szCs w:val="21"/>
                <w:highlight w:val="white"/>
              </w:rPr>
            </w:pPr>
          </w:p>
        </w:tc>
      </w:tr>
    </w:tbl>
    <w:p>
      <w:pPr>
        <w:spacing w:line="300" w:lineRule="auto"/>
        <w:rPr>
          <w:rFonts w:ascii="宋体" w:hAnsi="宋体"/>
          <w:szCs w:val="21"/>
          <w:highlight w:val="white"/>
        </w:rPr>
      </w:pPr>
    </w:p>
    <w:p>
      <w:pPr>
        <w:spacing w:line="300" w:lineRule="auto"/>
        <w:rPr>
          <w:rFonts w:ascii="宋体" w:hAnsi="宋体"/>
          <w:szCs w:val="21"/>
        </w:rPr>
      </w:pPr>
      <w:r>
        <w:rPr>
          <w:rFonts w:hint="eastAsia" w:ascii="宋体" w:hAnsi="宋体"/>
          <w:szCs w:val="21"/>
          <w:highlight w:val="white"/>
        </w:rPr>
        <w:t>磋商供应商：(盖单位公章</w:t>
      </w:r>
      <w:r>
        <w:rPr>
          <w:rFonts w:ascii="宋体" w:hAnsi="宋体"/>
          <w:szCs w:val="21"/>
          <w:highlight w:val="white"/>
        </w:rPr>
        <w:t>)</w:t>
      </w:r>
    </w:p>
    <w:p>
      <w:pPr>
        <w:spacing w:line="300" w:lineRule="auto"/>
        <w:rPr>
          <w:rFonts w:ascii="宋体" w:hAnsi="宋体"/>
          <w:szCs w:val="21"/>
          <w:highlight w:val="white"/>
        </w:rPr>
      </w:pPr>
      <w:r>
        <w:rPr>
          <w:rFonts w:hint="eastAsia" w:ascii="宋体" w:hAnsi="宋体"/>
          <w:szCs w:val="21"/>
          <w:highlight w:val="white"/>
        </w:rPr>
        <w:t>法人代表或授权代表：（纸质响应文件中须签字或盖章）</w:t>
      </w:r>
    </w:p>
    <w:p>
      <w:pPr>
        <w:spacing w:line="300" w:lineRule="auto"/>
        <w:rPr>
          <w:rFonts w:ascii="宋体" w:hAnsi="宋体"/>
          <w:szCs w:val="21"/>
          <w:highlight w:val="white"/>
        </w:rPr>
      </w:pPr>
    </w:p>
    <w:p>
      <w:pPr>
        <w:spacing w:line="360" w:lineRule="exact"/>
      </w:pPr>
      <w:r>
        <w:rPr>
          <w:rFonts w:ascii="宋体" w:hAnsi="宋体"/>
          <w:b/>
          <w:highlight w:val="white"/>
        </w:rPr>
        <w:t>注：</w:t>
      </w:r>
      <w:r>
        <w:rPr>
          <w:rFonts w:hint="eastAsia" w:ascii="宋体" w:hAnsi="宋体"/>
          <w:b/>
          <w:highlight w:val="white"/>
        </w:rPr>
        <w:t>1</w:t>
      </w:r>
      <w:r>
        <w:rPr>
          <w:rFonts w:ascii="宋体" w:hAnsi="宋体"/>
          <w:b/>
          <w:highlight w:val="white"/>
        </w:rPr>
        <w:t>、</w:t>
      </w:r>
      <w:r>
        <w:rPr>
          <w:rFonts w:hint="eastAsia" w:ascii="宋体" w:hAnsi="宋体"/>
          <w:b/>
          <w:highlight w:val="white"/>
        </w:rPr>
        <w:t>磋商供应商</w:t>
      </w:r>
      <w:r>
        <w:rPr>
          <w:rFonts w:ascii="宋体" w:hAnsi="宋体"/>
          <w:b/>
          <w:highlight w:val="white"/>
        </w:rPr>
        <w:t>根据项目实际填写，表中单项，项目招标要求不涉及的可留空或自行调整。</w:t>
      </w:r>
    </w:p>
    <w:p>
      <w:pPr>
        <w:tabs>
          <w:tab w:val="center" w:pos="4629"/>
        </w:tabs>
        <w:spacing w:before="240" w:after="480" w:line="500" w:lineRule="exact"/>
        <w:rPr>
          <w:rFonts w:ascii="宋体" w:hAnsi="宋体"/>
          <w:b/>
          <w:sz w:val="28"/>
          <w:szCs w:val="28"/>
        </w:rPr>
      </w:pPr>
    </w:p>
    <w:p>
      <w:pPr>
        <w:pStyle w:val="2"/>
        <w:ind w:firstLine="562"/>
        <w:rPr>
          <w:rFonts w:ascii="宋体" w:hAnsi="宋体"/>
          <w:b/>
          <w:sz w:val="28"/>
          <w:szCs w:val="28"/>
        </w:rPr>
      </w:pPr>
    </w:p>
    <w:p>
      <w:pPr>
        <w:pStyle w:val="2"/>
        <w:ind w:firstLine="562"/>
        <w:rPr>
          <w:rFonts w:ascii="宋体" w:hAnsi="宋体"/>
          <w:b/>
          <w:sz w:val="28"/>
          <w:szCs w:val="28"/>
        </w:rPr>
      </w:pPr>
    </w:p>
    <w:p>
      <w:pPr>
        <w:pStyle w:val="2"/>
        <w:ind w:firstLine="562"/>
        <w:rPr>
          <w:rFonts w:ascii="宋体" w:hAnsi="宋体"/>
          <w:b/>
          <w:sz w:val="28"/>
          <w:szCs w:val="28"/>
        </w:rPr>
      </w:pPr>
    </w:p>
    <w:p>
      <w:pPr>
        <w:pStyle w:val="2"/>
        <w:ind w:firstLine="562"/>
        <w:rPr>
          <w:rFonts w:ascii="宋体" w:hAnsi="宋体"/>
          <w:b/>
          <w:sz w:val="28"/>
          <w:szCs w:val="28"/>
        </w:rPr>
      </w:pPr>
    </w:p>
    <w:p>
      <w:pPr>
        <w:pStyle w:val="2"/>
        <w:ind w:firstLine="562"/>
        <w:rPr>
          <w:rFonts w:ascii="宋体" w:hAnsi="宋体"/>
          <w:b/>
          <w:sz w:val="28"/>
          <w:szCs w:val="28"/>
        </w:rPr>
      </w:pPr>
    </w:p>
    <w:p>
      <w:pPr>
        <w:pStyle w:val="2"/>
        <w:ind w:firstLine="0" w:firstLineChars="0"/>
        <w:rPr>
          <w:rFonts w:ascii="宋体" w:hAnsi="宋体"/>
          <w:b/>
          <w:sz w:val="28"/>
          <w:szCs w:val="28"/>
        </w:rPr>
      </w:pPr>
    </w:p>
    <w:p>
      <w:pPr>
        <w:rPr>
          <w:rFonts w:ascii="宋体" w:hAnsi="宋体"/>
          <w:bCs/>
          <w:szCs w:val="21"/>
          <w:highlight w:val="white"/>
        </w:rPr>
      </w:pPr>
    </w:p>
    <w:p>
      <w:pPr>
        <w:rPr>
          <w:rFonts w:ascii="宋体" w:hAnsi="宋体"/>
          <w:bCs/>
          <w:szCs w:val="21"/>
          <w:highlight w:val="white"/>
        </w:rPr>
      </w:pPr>
      <w:r>
        <w:rPr>
          <w:rFonts w:hint="eastAsia" w:ascii="宋体" w:hAnsi="宋体"/>
          <w:bCs/>
          <w:szCs w:val="21"/>
          <w:highlight w:val="white"/>
        </w:rPr>
        <w:t>六、本项目专业工种安排表（如有）</w:t>
      </w:r>
    </w:p>
    <w:p>
      <w:pPr>
        <w:jc w:val="center"/>
        <w:rPr>
          <w:rFonts w:ascii="宋体" w:hAnsi="宋体"/>
          <w:szCs w:val="18"/>
        </w:rPr>
      </w:pPr>
    </w:p>
    <w:p>
      <w:pPr>
        <w:spacing w:line="360" w:lineRule="auto"/>
        <w:jc w:val="center"/>
        <w:rPr>
          <w:rFonts w:ascii="宋体" w:hAnsi="宋体"/>
          <w:sz w:val="32"/>
          <w:szCs w:val="32"/>
          <w:highlight w:val="white"/>
        </w:rPr>
      </w:pPr>
      <w:r>
        <w:rPr>
          <w:rFonts w:hint="eastAsia" w:ascii="宋体" w:hAnsi="宋体"/>
          <w:sz w:val="32"/>
          <w:szCs w:val="32"/>
          <w:highlight w:val="white"/>
        </w:rPr>
        <w:t>本项目专业工种安排表</w:t>
      </w:r>
    </w:p>
    <w:tbl>
      <w:tblPr>
        <w:tblStyle w:val="23"/>
        <w:tblW w:w="8532" w:type="dxa"/>
        <w:jc w:val="center"/>
        <w:tblLayout w:type="fixed"/>
        <w:tblCellMar>
          <w:top w:w="0" w:type="dxa"/>
          <w:left w:w="0" w:type="dxa"/>
          <w:bottom w:w="0" w:type="dxa"/>
          <w:right w:w="0" w:type="dxa"/>
        </w:tblCellMar>
      </w:tblPr>
      <w:tblGrid>
        <w:gridCol w:w="2011"/>
        <w:gridCol w:w="2552"/>
        <w:gridCol w:w="1745"/>
        <w:gridCol w:w="2224"/>
      </w:tblGrid>
      <w:tr>
        <w:tblPrEx>
          <w:tblCellMar>
            <w:top w:w="0" w:type="dxa"/>
            <w:left w:w="0" w:type="dxa"/>
            <w:bottom w:w="0" w:type="dxa"/>
            <w:right w:w="0" w:type="dxa"/>
          </w:tblCellMar>
        </w:tblPrEx>
        <w:trPr>
          <w:trHeight w:val="585" w:hRule="atLeast"/>
          <w:jc w:val="center"/>
        </w:trPr>
        <w:tc>
          <w:tcPr>
            <w:tcW w:w="2011"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szCs w:val="21"/>
              </w:rPr>
              <w:t>工种</w:t>
            </w:r>
          </w:p>
        </w:tc>
        <w:tc>
          <w:tcPr>
            <w:tcW w:w="255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cs="Arial Unicode MS"/>
                <w:szCs w:val="21"/>
              </w:rPr>
              <w:t>要求（条件）</w:t>
            </w:r>
          </w:p>
        </w:tc>
        <w:tc>
          <w:tcPr>
            <w:tcW w:w="174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szCs w:val="21"/>
              </w:rPr>
              <w:t>人数</w:t>
            </w:r>
          </w:p>
        </w:tc>
        <w:tc>
          <w:tcPr>
            <w:tcW w:w="2224" w:type="dxa"/>
            <w:tcBorders>
              <w:top w:val="single" w:color="auto" w:sz="4" w:space="0"/>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备注</w:t>
            </w:r>
          </w:p>
        </w:tc>
      </w:tr>
      <w:tr>
        <w:tblPrEx>
          <w:tblCellMar>
            <w:top w:w="0" w:type="dxa"/>
            <w:left w:w="0" w:type="dxa"/>
            <w:bottom w:w="0" w:type="dxa"/>
            <w:right w:w="0" w:type="dxa"/>
          </w:tblCellMar>
        </w:tblPrEx>
        <w:trPr>
          <w:trHeight w:val="555" w:hRule="atLeast"/>
          <w:jc w:val="center"/>
        </w:trPr>
        <w:tc>
          <w:tcPr>
            <w:tcW w:w="2011" w:type="dxa"/>
            <w:vMerge w:val="restart"/>
            <w:tcBorders>
              <w:top w:val="nil"/>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55"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85"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55" w:hRule="atLeast"/>
          <w:jc w:val="center"/>
        </w:trPr>
        <w:tc>
          <w:tcPr>
            <w:tcW w:w="2011" w:type="dxa"/>
            <w:vMerge w:val="restart"/>
            <w:tcBorders>
              <w:top w:val="nil"/>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55"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restart"/>
            <w:tcBorders>
              <w:top w:val="nil"/>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restart"/>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szCs w:val="21"/>
              </w:rPr>
              <w:t>**********</w:t>
            </w: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jc w:val="center"/>
        </w:trPr>
        <w:tc>
          <w:tcPr>
            <w:tcW w:w="2011"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cs="Arial Unicode MS"/>
                <w:szCs w:val="21"/>
              </w:rPr>
              <w:t>合计</w:t>
            </w: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szCs w:val="21"/>
              </w:rPr>
            </w:pPr>
          </w:p>
        </w:tc>
      </w:tr>
    </w:tbl>
    <w:p>
      <w:pPr>
        <w:spacing w:line="300" w:lineRule="auto"/>
        <w:rPr>
          <w:rFonts w:ascii="宋体" w:hAnsi="宋体"/>
          <w:szCs w:val="21"/>
        </w:rPr>
      </w:pPr>
      <w:r>
        <w:rPr>
          <w:rFonts w:hint="eastAsia" w:ascii="宋体" w:hAnsi="宋体"/>
          <w:szCs w:val="21"/>
          <w:highlight w:val="white"/>
        </w:rPr>
        <w:t>磋商供应商：</w:t>
      </w:r>
      <w:r>
        <w:rPr>
          <w:rFonts w:ascii="宋体" w:hAnsi="宋体"/>
          <w:szCs w:val="21"/>
          <w:highlight w:val="white"/>
        </w:rPr>
        <w:t>(</w:t>
      </w:r>
      <w:r>
        <w:rPr>
          <w:rFonts w:hint="eastAsia" w:ascii="宋体" w:hAnsi="宋体"/>
          <w:szCs w:val="21"/>
          <w:highlight w:val="white"/>
        </w:rPr>
        <w:t>盖单位公章</w:t>
      </w:r>
      <w:r>
        <w:rPr>
          <w:rFonts w:ascii="宋体" w:hAnsi="宋体"/>
          <w:szCs w:val="21"/>
          <w:highlight w:val="white"/>
        </w:rPr>
        <w:t>)</w:t>
      </w:r>
    </w:p>
    <w:p>
      <w:pPr>
        <w:spacing w:line="300" w:lineRule="auto"/>
        <w:rPr>
          <w:rFonts w:ascii="宋体" w:hAnsi="宋体"/>
          <w:szCs w:val="21"/>
          <w:highlight w:val="white"/>
        </w:rPr>
      </w:pPr>
      <w:r>
        <w:rPr>
          <w:rFonts w:hint="eastAsia" w:ascii="宋体" w:hAnsi="宋体"/>
          <w:szCs w:val="21"/>
          <w:highlight w:val="white"/>
        </w:rPr>
        <w:t>法人代表或授权代表：（纸质响应文件中须签字或盖章）</w:t>
      </w:r>
    </w:p>
    <w:p>
      <w:pPr>
        <w:spacing w:line="300" w:lineRule="auto"/>
        <w:rPr>
          <w:rFonts w:ascii="宋体" w:hAnsi="宋体"/>
          <w:szCs w:val="21"/>
          <w:highlight w:val="white"/>
        </w:rPr>
      </w:pPr>
    </w:p>
    <w:p>
      <w:pPr>
        <w:spacing w:line="360" w:lineRule="exact"/>
        <w:rPr>
          <w:rFonts w:ascii="宋体" w:hAnsi="宋体"/>
          <w:b/>
          <w:sz w:val="28"/>
          <w:szCs w:val="28"/>
        </w:rPr>
      </w:pPr>
      <w:r>
        <w:rPr>
          <w:rFonts w:ascii="宋体" w:hAnsi="宋体"/>
          <w:b/>
          <w:highlight w:val="white"/>
        </w:rPr>
        <w:t>注：</w:t>
      </w:r>
      <w:r>
        <w:rPr>
          <w:rFonts w:hint="eastAsia" w:ascii="宋体" w:hAnsi="宋体"/>
          <w:b/>
          <w:highlight w:val="white"/>
        </w:rPr>
        <w:t>1</w:t>
      </w:r>
      <w:r>
        <w:rPr>
          <w:rFonts w:ascii="宋体" w:hAnsi="宋体"/>
          <w:b/>
          <w:highlight w:val="white"/>
        </w:rPr>
        <w:t>、</w:t>
      </w:r>
      <w:r>
        <w:rPr>
          <w:rFonts w:hint="eastAsia" w:ascii="宋体" w:hAnsi="宋体"/>
          <w:b/>
          <w:highlight w:val="white"/>
        </w:rPr>
        <w:t>磋商供应商</w:t>
      </w:r>
      <w:r>
        <w:rPr>
          <w:rFonts w:ascii="宋体" w:hAnsi="宋体"/>
          <w:b/>
          <w:highlight w:val="white"/>
        </w:rPr>
        <w:t>根据项目实际填写，表中单项，项目</w:t>
      </w:r>
      <w:r>
        <w:rPr>
          <w:rFonts w:hint="eastAsia" w:ascii="宋体" w:hAnsi="宋体"/>
          <w:b/>
          <w:highlight w:val="white"/>
        </w:rPr>
        <w:t>采购</w:t>
      </w:r>
      <w:r>
        <w:rPr>
          <w:rFonts w:ascii="宋体" w:hAnsi="宋体"/>
          <w:b/>
          <w:highlight w:val="white"/>
        </w:rPr>
        <w:t>要求不涉及的可留空或自行调整。</w:t>
      </w:r>
    </w:p>
    <w:p>
      <w:pPr>
        <w:pStyle w:val="7"/>
        <w:spacing w:before="0" w:after="0" w:line="240" w:lineRule="auto"/>
        <w:rPr>
          <w:rFonts w:ascii="宋体" w:hAnsi="宋体"/>
          <w:b w:val="0"/>
          <w:sz w:val="21"/>
          <w:szCs w:val="21"/>
        </w:rPr>
      </w:pPr>
      <w:r>
        <w:rPr>
          <w:rFonts w:hint="eastAsia"/>
          <w:b w:val="0"/>
          <w:sz w:val="21"/>
          <w:szCs w:val="21"/>
        </w:rPr>
        <w:t>七、服务要求</w:t>
      </w:r>
      <w:r>
        <w:rPr>
          <w:rFonts w:ascii="宋体" w:hAnsi="宋体"/>
          <w:b w:val="0"/>
          <w:sz w:val="21"/>
          <w:szCs w:val="21"/>
          <w:highlight w:val="white"/>
        </w:rPr>
        <w:t>偏离表</w:t>
      </w:r>
      <w:r>
        <w:rPr>
          <w:rFonts w:hint="eastAsia" w:ascii="宋体" w:hAnsi="宋体"/>
          <w:b w:val="0"/>
          <w:sz w:val="21"/>
          <w:szCs w:val="21"/>
          <w:highlight w:val="white"/>
        </w:rPr>
        <w:t>（格式）</w:t>
      </w:r>
    </w:p>
    <w:p>
      <w:pPr>
        <w:spacing w:line="360" w:lineRule="auto"/>
        <w:jc w:val="center"/>
        <w:rPr>
          <w:rFonts w:ascii="宋体" w:hAnsi="宋体"/>
          <w:sz w:val="36"/>
        </w:rPr>
      </w:pPr>
      <w:r>
        <w:rPr>
          <w:rFonts w:hint="eastAsia" w:ascii="宋体" w:hAnsi="宋体"/>
          <w:sz w:val="32"/>
          <w:szCs w:val="32"/>
          <w:highlight w:val="white"/>
        </w:rPr>
        <w:t>服务要求</w:t>
      </w:r>
      <w:r>
        <w:rPr>
          <w:rFonts w:ascii="宋体" w:hAnsi="宋体"/>
          <w:sz w:val="32"/>
          <w:szCs w:val="32"/>
          <w:highlight w:val="white"/>
        </w:rPr>
        <w:t>偏离表</w:t>
      </w:r>
    </w:p>
    <w:tbl>
      <w:tblPr>
        <w:tblStyle w:val="2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22"/>
        <w:gridCol w:w="2321"/>
        <w:gridCol w:w="2391"/>
        <w:gridCol w:w="1188"/>
        <w:gridCol w:w="5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trPr>
        <w:tc>
          <w:tcPr>
            <w:tcW w:w="430" w:type="dxa"/>
            <w:noWrap/>
            <w:vAlign w:val="center"/>
          </w:tcPr>
          <w:p>
            <w:pPr>
              <w:jc w:val="center"/>
              <w:rPr>
                <w:rFonts w:ascii="宋体" w:hAnsi="宋体"/>
                <w:szCs w:val="21"/>
              </w:rPr>
            </w:pPr>
            <w:r>
              <w:rPr>
                <w:rFonts w:ascii="宋体" w:hAnsi="宋体"/>
                <w:szCs w:val="21"/>
                <w:highlight w:val="white"/>
              </w:rPr>
              <w:t>序号</w:t>
            </w:r>
          </w:p>
        </w:tc>
        <w:tc>
          <w:tcPr>
            <w:tcW w:w="1622" w:type="dxa"/>
            <w:noWrap/>
            <w:vAlign w:val="center"/>
          </w:tcPr>
          <w:p>
            <w:pPr>
              <w:jc w:val="center"/>
              <w:rPr>
                <w:rFonts w:ascii="宋体" w:hAnsi="宋体"/>
                <w:szCs w:val="21"/>
              </w:rPr>
            </w:pPr>
            <w:r>
              <w:rPr>
                <w:rFonts w:ascii="宋体" w:hAnsi="宋体"/>
                <w:szCs w:val="21"/>
                <w:highlight w:val="white"/>
              </w:rPr>
              <w:t>货物名称</w:t>
            </w:r>
          </w:p>
        </w:tc>
        <w:tc>
          <w:tcPr>
            <w:tcW w:w="2321" w:type="dxa"/>
            <w:noWrap/>
            <w:vAlign w:val="center"/>
          </w:tcPr>
          <w:p>
            <w:pPr>
              <w:jc w:val="center"/>
              <w:rPr>
                <w:rFonts w:ascii="宋体" w:hAnsi="宋体"/>
                <w:szCs w:val="21"/>
              </w:rPr>
            </w:pPr>
            <w:r>
              <w:rPr>
                <w:rFonts w:ascii="宋体" w:hAnsi="宋体"/>
                <w:szCs w:val="21"/>
                <w:highlight w:val="white"/>
              </w:rPr>
              <w:t>招标货物主要参数、技术规格</w:t>
            </w:r>
          </w:p>
        </w:tc>
        <w:tc>
          <w:tcPr>
            <w:tcW w:w="2391" w:type="dxa"/>
            <w:noWrap/>
            <w:vAlign w:val="center"/>
          </w:tcPr>
          <w:p>
            <w:pPr>
              <w:jc w:val="center"/>
              <w:rPr>
                <w:rFonts w:ascii="宋体" w:hAnsi="宋体"/>
                <w:szCs w:val="21"/>
              </w:rPr>
            </w:pPr>
            <w:r>
              <w:rPr>
                <w:rFonts w:ascii="宋体" w:hAnsi="宋体"/>
                <w:szCs w:val="21"/>
                <w:highlight w:val="white"/>
              </w:rPr>
              <w:t>投标货物主要参数、技术规格</w:t>
            </w:r>
          </w:p>
        </w:tc>
        <w:tc>
          <w:tcPr>
            <w:tcW w:w="1188" w:type="dxa"/>
            <w:noWrap/>
            <w:vAlign w:val="center"/>
          </w:tcPr>
          <w:p>
            <w:pPr>
              <w:jc w:val="center"/>
              <w:rPr>
                <w:rFonts w:ascii="宋体" w:hAnsi="宋体"/>
                <w:szCs w:val="21"/>
              </w:rPr>
            </w:pPr>
            <w:r>
              <w:rPr>
                <w:rFonts w:ascii="宋体" w:hAnsi="宋体"/>
                <w:szCs w:val="21"/>
                <w:highlight w:val="white"/>
              </w:rPr>
              <w:t>偏离（正或负）</w:t>
            </w:r>
          </w:p>
        </w:tc>
        <w:tc>
          <w:tcPr>
            <w:tcW w:w="520" w:type="dxa"/>
            <w:noWrap/>
            <w:vAlign w:val="center"/>
          </w:tcPr>
          <w:p>
            <w:pPr>
              <w:jc w:val="center"/>
              <w:rPr>
                <w:rFonts w:ascii="宋体" w:hAnsi="宋体"/>
                <w:szCs w:val="21"/>
              </w:rPr>
            </w:pPr>
            <w:r>
              <w:rPr>
                <w:rFonts w:ascii="宋体" w:hAnsi="宋体"/>
                <w:szCs w:val="21"/>
                <w:highlight w:val="white"/>
              </w:rPr>
              <w:t>说明</w:t>
            </w:r>
          </w:p>
        </w:tc>
        <w:tc>
          <w:tcPr>
            <w:tcW w:w="1559" w:type="dxa"/>
            <w:noWrap/>
            <w:vAlign w:val="center"/>
          </w:tcPr>
          <w:p>
            <w:pPr>
              <w:jc w:val="center"/>
              <w:rPr>
                <w:rFonts w:ascii="宋体" w:hAnsi="宋体"/>
                <w:szCs w:val="21"/>
              </w:rPr>
            </w:pPr>
            <w:r>
              <w:rPr>
                <w:rFonts w:ascii="宋体" w:hAnsi="宋体"/>
                <w:szCs w:val="21"/>
              </w:rPr>
              <w:t>备注</w:t>
            </w:r>
            <w:r>
              <w:rPr>
                <w:rFonts w:hint="eastAsia" w:ascii="宋体" w:hAnsi="宋体"/>
                <w:szCs w:val="21"/>
              </w:rPr>
              <w:t>：</w:t>
            </w:r>
            <w:r>
              <w:rPr>
                <w:rFonts w:ascii="宋体" w:hAnsi="宋体"/>
                <w:szCs w:val="21"/>
              </w:rPr>
              <w:t>相关证明材料在投标文件中的具体位置</w:t>
            </w:r>
            <w:r>
              <w:rPr>
                <w:rFonts w:hint="eastAsia" w:ascii="宋体" w:hAnsi="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restart"/>
            <w:noWrap/>
            <w:vAlign w:val="center"/>
          </w:tcPr>
          <w:p>
            <w:pPr>
              <w:spacing w:line="360" w:lineRule="auto"/>
              <w:jc w:val="center"/>
              <w:rPr>
                <w:rFonts w:ascii="宋体" w:hAnsi="宋体"/>
                <w:szCs w:val="21"/>
              </w:rPr>
            </w:pPr>
            <w:r>
              <w:rPr>
                <w:rFonts w:hint="eastAsia" w:ascii="宋体" w:hAnsi="宋体"/>
                <w:szCs w:val="21"/>
              </w:rPr>
              <w:t>1</w:t>
            </w:r>
          </w:p>
        </w:tc>
        <w:tc>
          <w:tcPr>
            <w:tcW w:w="1622" w:type="dxa"/>
            <w:vMerge w:val="restart"/>
            <w:noWrap/>
            <w:vAlign w:val="center"/>
          </w:tcPr>
          <w:p>
            <w:pPr>
              <w:spacing w:line="360" w:lineRule="auto"/>
              <w:jc w:val="center"/>
              <w:rPr>
                <w:rFonts w:ascii="宋体" w:hAnsi="宋体"/>
                <w:szCs w:val="21"/>
              </w:rPr>
            </w:pPr>
          </w:p>
        </w:tc>
        <w:tc>
          <w:tcPr>
            <w:tcW w:w="2321" w:type="dxa"/>
            <w:noWrap/>
            <w:vAlign w:val="center"/>
          </w:tcPr>
          <w:p>
            <w:pPr>
              <w:spacing w:line="360" w:lineRule="auto"/>
              <w:jc w:val="left"/>
              <w:rPr>
                <w:rFonts w:ascii="宋体" w:hAnsi="宋体"/>
                <w:szCs w:val="21"/>
              </w:rPr>
            </w:pPr>
            <w:r>
              <w:rPr>
                <w:rFonts w:hint="eastAsia" w:ascii="宋体" w:hAnsi="宋体"/>
                <w:szCs w:val="21"/>
              </w:rPr>
              <w:t>1、参数一：</w:t>
            </w:r>
          </w:p>
        </w:tc>
        <w:tc>
          <w:tcPr>
            <w:tcW w:w="2391" w:type="dxa"/>
            <w:noWrap/>
            <w:vAlign w:val="center"/>
          </w:tcPr>
          <w:p>
            <w:pPr>
              <w:spacing w:line="360" w:lineRule="auto"/>
              <w:jc w:val="left"/>
              <w:rPr>
                <w:rFonts w:ascii="宋体" w:hAnsi="宋体"/>
                <w:szCs w:val="21"/>
              </w:rPr>
            </w:pPr>
            <w:r>
              <w:rPr>
                <w:rFonts w:hint="eastAsia" w:ascii="宋体" w:hAnsi="宋体"/>
                <w:szCs w:val="21"/>
              </w:rPr>
              <w:t>1、参数一：</w:t>
            </w:r>
          </w:p>
        </w:tc>
        <w:tc>
          <w:tcPr>
            <w:tcW w:w="1188" w:type="dxa"/>
            <w:noWrap/>
            <w:vAlign w:val="center"/>
          </w:tcPr>
          <w:p>
            <w:pPr>
              <w:spacing w:line="360" w:lineRule="auto"/>
              <w:jc w:val="center"/>
              <w:rPr>
                <w:rFonts w:ascii="宋体" w:hAnsi="宋体"/>
                <w:szCs w:val="21"/>
              </w:rPr>
            </w:pPr>
          </w:p>
        </w:tc>
        <w:tc>
          <w:tcPr>
            <w:tcW w:w="520" w:type="dxa"/>
            <w:noWrap/>
            <w:vAlign w:val="center"/>
          </w:tcPr>
          <w:p>
            <w:pPr>
              <w:spacing w:line="360" w:lineRule="auto"/>
              <w:jc w:val="center"/>
              <w:rPr>
                <w:rFonts w:ascii="宋体" w:hAnsi="宋体"/>
                <w:szCs w:val="21"/>
              </w:rPr>
            </w:pPr>
          </w:p>
        </w:tc>
        <w:tc>
          <w:tcPr>
            <w:tcW w:w="1559"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szCs w:val="21"/>
              </w:rPr>
            </w:pPr>
          </w:p>
        </w:tc>
        <w:tc>
          <w:tcPr>
            <w:tcW w:w="1622" w:type="dxa"/>
            <w:vMerge w:val="continue"/>
            <w:noWrap/>
            <w:vAlign w:val="center"/>
          </w:tcPr>
          <w:p>
            <w:pPr>
              <w:jc w:val="center"/>
              <w:rPr>
                <w:rFonts w:ascii="宋体" w:hAnsi="宋体"/>
                <w:szCs w:val="21"/>
              </w:rPr>
            </w:pPr>
          </w:p>
        </w:tc>
        <w:tc>
          <w:tcPr>
            <w:tcW w:w="2321" w:type="dxa"/>
            <w:noWrap/>
            <w:vAlign w:val="center"/>
          </w:tcPr>
          <w:p>
            <w:pPr>
              <w:jc w:val="left"/>
              <w:rPr>
                <w:rFonts w:ascii="宋体" w:hAnsi="宋体"/>
                <w:szCs w:val="21"/>
              </w:rPr>
            </w:pPr>
            <w:r>
              <w:rPr>
                <w:rFonts w:hint="eastAsia" w:ascii="宋体" w:hAnsi="宋体"/>
                <w:szCs w:val="21"/>
              </w:rPr>
              <w:t>2、参数二：</w:t>
            </w:r>
          </w:p>
        </w:tc>
        <w:tc>
          <w:tcPr>
            <w:tcW w:w="2391" w:type="dxa"/>
            <w:noWrap/>
            <w:vAlign w:val="center"/>
          </w:tcPr>
          <w:p>
            <w:pPr>
              <w:jc w:val="left"/>
              <w:rPr>
                <w:rFonts w:ascii="宋体" w:hAnsi="宋体"/>
                <w:szCs w:val="21"/>
              </w:rPr>
            </w:pPr>
            <w:r>
              <w:rPr>
                <w:rFonts w:hint="eastAsia" w:ascii="宋体" w:hAnsi="宋体"/>
                <w:szCs w:val="21"/>
              </w:rPr>
              <w:t>2、参数二</w:t>
            </w:r>
          </w:p>
        </w:tc>
        <w:tc>
          <w:tcPr>
            <w:tcW w:w="1188" w:type="dxa"/>
            <w:noWrap/>
            <w:vAlign w:val="center"/>
          </w:tcPr>
          <w:p>
            <w:pPr>
              <w:jc w:val="center"/>
              <w:rPr>
                <w:rFonts w:ascii="宋体" w:hAnsi="宋体"/>
                <w:szCs w:val="21"/>
              </w:rPr>
            </w:pPr>
          </w:p>
        </w:tc>
        <w:tc>
          <w:tcPr>
            <w:tcW w:w="520" w:type="dxa"/>
            <w:noWrap/>
            <w:vAlign w:val="center"/>
          </w:tcPr>
          <w:p>
            <w:pPr>
              <w:jc w:val="center"/>
              <w:rPr>
                <w:rFonts w:ascii="宋体" w:hAnsi="宋体"/>
                <w:szCs w:val="21"/>
              </w:rPr>
            </w:pPr>
          </w:p>
        </w:tc>
        <w:tc>
          <w:tcPr>
            <w:tcW w:w="1559"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szCs w:val="21"/>
              </w:rPr>
            </w:pPr>
          </w:p>
        </w:tc>
        <w:tc>
          <w:tcPr>
            <w:tcW w:w="1622" w:type="dxa"/>
            <w:vMerge w:val="continue"/>
            <w:noWrap/>
            <w:vAlign w:val="center"/>
          </w:tcPr>
          <w:p>
            <w:pPr>
              <w:jc w:val="center"/>
              <w:rPr>
                <w:rFonts w:ascii="宋体" w:hAnsi="宋体"/>
                <w:szCs w:val="21"/>
              </w:rPr>
            </w:pPr>
          </w:p>
        </w:tc>
        <w:tc>
          <w:tcPr>
            <w:tcW w:w="2321" w:type="dxa"/>
            <w:noWrap/>
            <w:vAlign w:val="center"/>
          </w:tcPr>
          <w:p>
            <w:pPr>
              <w:jc w:val="left"/>
              <w:rPr>
                <w:rFonts w:ascii="宋体" w:hAnsi="宋体"/>
                <w:szCs w:val="21"/>
              </w:rPr>
            </w:pPr>
            <w:r>
              <w:rPr>
                <w:rFonts w:ascii="宋体" w:hAnsi="宋体"/>
                <w:szCs w:val="21"/>
              </w:rPr>
              <w:t>……</w:t>
            </w:r>
          </w:p>
        </w:tc>
        <w:tc>
          <w:tcPr>
            <w:tcW w:w="2391" w:type="dxa"/>
            <w:noWrap/>
            <w:vAlign w:val="center"/>
          </w:tcPr>
          <w:p>
            <w:pPr>
              <w:jc w:val="left"/>
              <w:rPr>
                <w:rFonts w:ascii="宋体" w:hAnsi="宋体"/>
                <w:szCs w:val="21"/>
              </w:rPr>
            </w:pPr>
            <w:r>
              <w:rPr>
                <w:rFonts w:ascii="宋体" w:hAnsi="宋体"/>
                <w:szCs w:val="21"/>
              </w:rPr>
              <w:t>……</w:t>
            </w:r>
          </w:p>
        </w:tc>
        <w:tc>
          <w:tcPr>
            <w:tcW w:w="1188" w:type="dxa"/>
            <w:noWrap/>
            <w:vAlign w:val="center"/>
          </w:tcPr>
          <w:p>
            <w:pPr>
              <w:jc w:val="center"/>
              <w:rPr>
                <w:rFonts w:ascii="宋体" w:hAnsi="宋体"/>
                <w:szCs w:val="21"/>
              </w:rPr>
            </w:pPr>
          </w:p>
        </w:tc>
        <w:tc>
          <w:tcPr>
            <w:tcW w:w="520" w:type="dxa"/>
            <w:noWrap/>
            <w:vAlign w:val="center"/>
          </w:tcPr>
          <w:p>
            <w:pPr>
              <w:jc w:val="center"/>
              <w:rPr>
                <w:rFonts w:ascii="宋体" w:hAnsi="宋体"/>
                <w:szCs w:val="21"/>
              </w:rPr>
            </w:pPr>
          </w:p>
        </w:tc>
        <w:tc>
          <w:tcPr>
            <w:tcW w:w="1559"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restart"/>
            <w:noWrap/>
            <w:vAlign w:val="center"/>
          </w:tcPr>
          <w:p>
            <w:pPr>
              <w:jc w:val="center"/>
              <w:rPr>
                <w:rFonts w:ascii="宋体" w:hAnsi="宋体"/>
                <w:szCs w:val="21"/>
              </w:rPr>
            </w:pPr>
            <w:r>
              <w:rPr>
                <w:rFonts w:hint="eastAsia" w:ascii="宋体" w:hAnsi="宋体"/>
                <w:szCs w:val="21"/>
              </w:rPr>
              <w:t>2</w:t>
            </w:r>
          </w:p>
        </w:tc>
        <w:tc>
          <w:tcPr>
            <w:tcW w:w="1622" w:type="dxa"/>
            <w:vMerge w:val="restart"/>
            <w:noWrap/>
            <w:vAlign w:val="center"/>
          </w:tcPr>
          <w:p>
            <w:pPr>
              <w:jc w:val="center"/>
              <w:rPr>
                <w:rFonts w:ascii="宋体" w:hAnsi="宋体"/>
                <w:szCs w:val="21"/>
              </w:rPr>
            </w:pPr>
          </w:p>
        </w:tc>
        <w:tc>
          <w:tcPr>
            <w:tcW w:w="2321" w:type="dxa"/>
            <w:noWrap/>
            <w:vAlign w:val="center"/>
          </w:tcPr>
          <w:p>
            <w:pPr>
              <w:jc w:val="left"/>
              <w:rPr>
                <w:rFonts w:ascii="宋体" w:hAnsi="宋体"/>
                <w:szCs w:val="21"/>
              </w:rPr>
            </w:pPr>
            <w:r>
              <w:rPr>
                <w:rFonts w:hint="eastAsia" w:ascii="宋体" w:hAnsi="宋体"/>
                <w:szCs w:val="21"/>
              </w:rPr>
              <w:t>1、参数一：</w:t>
            </w:r>
          </w:p>
        </w:tc>
        <w:tc>
          <w:tcPr>
            <w:tcW w:w="2391" w:type="dxa"/>
            <w:noWrap/>
            <w:vAlign w:val="center"/>
          </w:tcPr>
          <w:p>
            <w:pPr>
              <w:jc w:val="left"/>
              <w:rPr>
                <w:rFonts w:ascii="宋体" w:hAnsi="宋体"/>
                <w:szCs w:val="21"/>
              </w:rPr>
            </w:pPr>
            <w:r>
              <w:rPr>
                <w:rFonts w:hint="eastAsia" w:ascii="宋体" w:hAnsi="宋体"/>
                <w:szCs w:val="21"/>
              </w:rPr>
              <w:t>1、参数一：</w:t>
            </w:r>
          </w:p>
        </w:tc>
        <w:tc>
          <w:tcPr>
            <w:tcW w:w="1188" w:type="dxa"/>
            <w:noWrap/>
            <w:vAlign w:val="center"/>
          </w:tcPr>
          <w:p>
            <w:pPr>
              <w:jc w:val="center"/>
              <w:rPr>
                <w:rFonts w:ascii="宋体" w:hAnsi="宋体"/>
                <w:szCs w:val="21"/>
              </w:rPr>
            </w:pPr>
          </w:p>
        </w:tc>
        <w:tc>
          <w:tcPr>
            <w:tcW w:w="520" w:type="dxa"/>
            <w:noWrap/>
            <w:vAlign w:val="center"/>
          </w:tcPr>
          <w:p>
            <w:pPr>
              <w:jc w:val="center"/>
              <w:rPr>
                <w:rFonts w:ascii="宋体" w:hAnsi="宋体"/>
                <w:szCs w:val="21"/>
              </w:rPr>
            </w:pPr>
          </w:p>
        </w:tc>
        <w:tc>
          <w:tcPr>
            <w:tcW w:w="1559"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szCs w:val="21"/>
              </w:rPr>
            </w:pPr>
          </w:p>
        </w:tc>
        <w:tc>
          <w:tcPr>
            <w:tcW w:w="1622" w:type="dxa"/>
            <w:vMerge w:val="continue"/>
            <w:noWrap/>
            <w:vAlign w:val="center"/>
          </w:tcPr>
          <w:p>
            <w:pPr>
              <w:jc w:val="center"/>
              <w:rPr>
                <w:rFonts w:ascii="宋体" w:hAnsi="宋体"/>
                <w:szCs w:val="21"/>
              </w:rPr>
            </w:pPr>
          </w:p>
        </w:tc>
        <w:tc>
          <w:tcPr>
            <w:tcW w:w="2321" w:type="dxa"/>
            <w:noWrap/>
            <w:vAlign w:val="center"/>
          </w:tcPr>
          <w:p>
            <w:pPr>
              <w:jc w:val="left"/>
              <w:rPr>
                <w:rFonts w:ascii="宋体" w:hAnsi="宋体"/>
                <w:szCs w:val="21"/>
              </w:rPr>
            </w:pPr>
            <w:r>
              <w:rPr>
                <w:rFonts w:hint="eastAsia" w:ascii="宋体" w:hAnsi="宋体"/>
                <w:szCs w:val="21"/>
              </w:rPr>
              <w:t>2、参数二</w:t>
            </w:r>
          </w:p>
        </w:tc>
        <w:tc>
          <w:tcPr>
            <w:tcW w:w="2391" w:type="dxa"/>
            <w:noWrap/>
            <w:vAlign w:val="center"/>
          </w:tcPr>
          <w:p>
            <w:pPr>
              <w:jc w:val="left"/>
              <w:rPr>
                <w:rFonts w:ascii="宋体" w:hAnsi="宋体"/>
                <w:szCs w:val="21"/>
              </w:rPr>
            </w:pPr>
            <w:r>
              <w:rPr>
                <w:rFonts w:hint="eastAsia" w:ascii="宋体" w:hAnsi="宋体"/>
                <w:szCs w:val="21"/>
              </w:rPr>
              <w:t>2、参数二</w:t>
            </w:r>
          </w:p>
        </w:tc>
        <w:tc>
          <w:tcPr>
            <w:tcW w:w="1188" w:type="dxa"/>
            <w:noWrap/>
            <w:vAlign w:val="center"/>
          </w:tcPr>
          <w:p>
            <w:pPr>
              <w:jc w:val="center"/>
              <w:rPr>
                <w:rFonts w:ascii="宋体" w:hAnsi="宋体"/>
                <w:szCs w:val="21"/>
              </w:rPr>
            </w:pPr>
          </w:p>
        </w:tc>
        <w:tc>
          <w:tcPr>
            <w:tcW w:w="520" w:type="dxa"/>
            <w:noWrap/>
            <w:vAlign w:val="center"/>
          </w:tcPr>
          <w:p>
            <w:pPr>
              <w:jc w:val="center"/>
              <w:rPr>
                <w:rFonts w:ascii="宋体" w:hAnsi="宋体"/>
                <w:szCs w:val="21"/>
              </w:rPr>
            </w:pPr>
          </w:p>
        </w:tc>
        <w:tc>
          <w:tcPr>
            <w:tcW w:w="1559"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szCs w:val="21"/>
              </w:rPr>
            </w:pPr>
          </w:p>
        </w:tc>
        <w:tc>
          <w:tcPr>
            <w:tcW w:w="1622" w:type="dxa"/>
            <w:vMerge w:val="continue"/>
            <w:noWrap/>
            <w:vAlign w:val="center"/>
          </w:tcPr>
          <w:p>
            <w:pPr>
              <w:jc w:val="center"/>
              <w:rPr>
                <w:rFonts w:ascii="宋体" w:hAnsi="宋体"/>
                <w:szCs w:val="21"/>
              </w:rPr>
            </w:pPr>
          </w:p>
        </w:tc>
        <w:tc>
          <w:tcPr>
            <w:tcW w:w="2321" w:type="dxa"/>
            <w:noWrap/>
            <w:vAlign w:val="center"/>
          </w:tcPr>
          <w:p>
            <w:pPr>
              <w:jc w:val="left"/>
              <w:rPr>
                <w:rFonts w:ascii="宋体" w:hAnsi="宋体"/>
                <w:szCs w:val="21"/>
              </w:rPr>
            </w:pPr>
            <w:r>
              <w:rPr>
                <w:rFonts w:ascii="宋体" w:hAnsi="宋体"/>
                <w:szCs w:val="21"/>
              </w:rPr>
              <w:t>……</w:t>
            </w:r>
          </w:p>
        </w:tc>
        <w:tc>
          <w:tcPr>
            <w:tcW w:w="2391" w:type="dxa"/>
            <w:noWrap/>
            <w:vAlign w:val="center"/>
          </w:tcPr>
          <w:p>
            <w:pPr>
              <w:jc w:val="left"/>
              <w:rPr>
                <w:rFonts w:ascii="宋体" w:hAnsi="宋体"/>
                <w:szCs w:val="21"/>
              </w:rPr>
            </w:pPr>
            <w:r>
              <w:rPr>
                <w:rFonts w:ascii="宋体" w:hAnsi="宋体"/>
                <w:szCs w:val="21"/>
              </w:rPr>
              <w:t>……</w:t>
            </w:r>
          </w:p>
        </w:tc>
        <w:tc>
          <w:tcPr>
            <w:tcW w:w="1188" w:type="dxa"/>
            <w:noWrap/>
            <w:vAlign w:val="center"/>
          </w:tcPr>
          <w:p>
            <w:pPr>
              <w:jc w:val="center"/>
              <w:rPr>
                <w:rFonts w:ascii="宋体" w:hAnsi="宋体"/>
                <w:szCs w:val="21"/>
              </w:rPr>
            </w:pPr>
          </w:p>
        </w:tc>
        <w:tc>
          <w:tcPr>
            <w:tcW w:w="520" w:type="dxa"/>
            <w:noWrap/>
            <w:vAlign w:val="center"/>
          </w:tcPr>
          <w:p>
            <w:pPr>
              <w:jc w:val="center"/>
              <w:rPr>
                <w:rFonts w:ascii="宋体" w:hAnsi="宋体"/>
                <w:szCs w:val="21"/>
              </w:rPr>
            </w:pPr>
          </w:p>
        </w:tc>
        <w:tc>
          <w:tcPr>
            <w:tcW w:w="1559"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noWrap/>
            <w:vAlign w:val="center"/>
          </w:tcPr>
          <w:p>
            <w:pPr>
              <w:jc w:val="center"/>
              <w:rPr>
                <w:rFonts w:ascii="宋体" w:hAnsi="宋体"/>
                <w:szCs w:val="21"/>
              </w:rPr>
            </w:pPr>
            <w:r>
              <w:rPr>
                <w:rFonts w:ascii="宋体" w:hAnsi="宋体"/>
                <w:szCs w:val="21"/>
              </w:rPr>
              <w:t>…</w:t>
            </w:r>
          </w:p>
        </w:tc>
        <w:tc>
          <w:tcPr>
            <w:tcW w:w="1622" w:type="dxa"/>
            <w:noWrap/>
            <w:vAlign w:val="center"/>
          </w:tcPr>
          <w:p>
            <w:pPr>
              <w:jc w:val="center"/>
              <w:rPr>
                <w:rFonts w:ascii="宋体" w:hAnsi="宋体"/>
                <w:szCs w:val="21"/>
              </w:rPr>
            </w:pPr>
          </w:p>
        </w:tc>
        <w:tc>
          <w:tcPr>
            <w:tcW w:w="2321" w:type="dxa"/>
            <w:noWrap/>
            <w:vAlign w:val="center"/>
          </w:tcPr>
          <w:p>
            <w:pPr>
              <w:jc w:val="center"/>
              <w:rPr>
                <w:rFonts w:ascii="宋体" w:hAnsi="宋体"/>
                <w:szCs w:val="21"/>
              </w:rPr>
            </w:pPr>
          </w:p>
        </w:tc>
        <w:tc>
          <w:tcPr>
            <w:tcW w:w="2391" w:type="dxa"/>
            <w:noWrap/>
            <w:vAlign w:val="center"/>
          </w:tcPr>
          <w:p>
            <w:pPr>
              <w:jc w:val="center"/>
              <w:rPr>
                <w:rFonts w:ascii="宋体" w:hAnsi="宋体"/>
                <w:szCs w:val="21"/>
              </w:rPr>
            </w:pPr>
          </w:p>
        </w:tc>
        <w:tc>
          <w:tcPr>
            <w:tcW w:w="1188" w:type="dxa"/>
            <w:noWrap/>
            <w:vAlign w:val="center"/>
          </w:tcPr>
          <w:p>
            <w:pPr>
              <w:jc w:val="center"/>
              <w:rPr>
                <w:rFonts w:ascii="宋体" w:hAnsi="宋体"/>
                <w:szCs w:val="21"/>
              </w:rPr>
            </w:pPr>
          </w:p>
        </w:tc>
        <w:tc>
          <w:tcPr>
            <w:tcW w:w="520" w:type="dxa"/>
            <w:noWrap/>
            <w:vAlign w:val="center"/>
          </w:tcPr>
          <w:p>
            <w:pPr>
              <w:jc w:val="center"/>
              <w:rPr>
                <w:rFonts w:ascii="宋体" w:hAnsi="宋体"/>
                <w:szCs w:val="21"/>
              </w:rPr>
            </w:pPr>
          </w:p>
        </w:tc>
        <w:tc>
          <w:tcPr>
            <w:tcW w:w="1559" w:type="dxa"/>
            <w:noWrap/>
            <w:vAlign w:val="center"/>
          </w:tcPr>
          <w:p>
            <w:pPr>
              <w:jc w:val="center"/>
              <w:rPr>
                <w:rFonts w:ascii="宋体" w:hAnsi="宋体"/>
                <w:szCs w:val="21"/>
              </w:rPr>
            </w:pPr>
          </w:p>
        </w:tc>
      </w:tr>
    </w:tbl>
    <w:p>
      <w:pPr>
        <w:spacing w:line="300" w:lineRule="auto"/>
        <w:rPr>
          <w:rFonts w:ascii="宋体" w:hAnsi="宋体"/>
        </w:rPr>
      </w:pPr>
    </w:p>
    <w:p>
      <w:pPr>
        <w:spacing w:line="300" w:lineRule="auto"/>
        <w:rPr>
          <w:rFonts w:ascii="宋体" w:hAnsi="宋体"/>
          <w:szCs w:val="21"/>
        </w:rPr>
      </w:pPr>
      <w:r>
        <w:rPr>
          <w:rFonts w:hint="eastAsia" w:ascii="宋体" w:hAnsi="宋体"/>
          <w:szCs w:val="21"/>
          <w:highlight w:val="white"/>
        </w:rPr>
        <w:t>磋商供应商：</w:t>
      </w:r>
      <w:r>
        <w:rPr>
          <w:rFonts w:ascii="宋体" w:hAnsi="宋体"/>
          <w:szCs w:val="21"/>
          <w:highlight w:val="white"/>
        </w:rPr>
        <w:t>(</w:t>
      </w:r>
      <w:r>
        <w:rPr>
          <w:rFonts w:hint="eastAsia" w:ascii="宋体" w:hAnsi="宋体"/>
          <w:szCs w:val="21"/>
          <w:highlight w:val="white"/>
        </w:rPr>
        <w:t>盖单位公章</w:t>
      </w:r>
      <w:r>
        <w:rPr>
          <w:rFonts w:ascii="宋体" w:hAnsi="宋体"/>
          <w:szCs w:val="21"/>
          <w:highlight w:val="white"/>
        </w:rPr>
        <w:t>)</w:t>
      </w:r>
    </w:p>
    <w:p>
      <w:pPr>
        <w:spacing w:line="300" w:lineRule="auto"/>
        <w:rPr>
          <w:rFonts w:ascii="宋体" w:hAnsi="宋体"/>
          <w:szCs w:val="21"/>
          <w:highlight w:val="white"/>
        </w:rPr>
      </w:pPr>
      <w:r>
        <w:rPr>
          <w:rFonts w:hint="eastAsia" w:ascii="宋体" w:hAnsi="宋体"/>
          <w:szCs w:val="21"/>
          <w:highlight w:val="white"/>
        </w:rPr>
        <w:t>法人代表或授权代表：（纸质响应文件中须签字或盖章）</w:t>
      </w:r>
    </w:p>
    <w:p>
      <w:pPr>
        <w:spacing w:line="300" w:lineRule="auto"/>
        <w:rPr>
          <w:rFonts w:ascii="宋体" w:hAnsi="宋体"/>
        </w:rPr>
      </w:pPr>
    </w:p>
    <w:p>
      <w:pPr>
        <w:spacing w:line="360" w:lineRule="exact"/>
        <w:rPr>
          <w:rFonts w:ascii="宋体" w:hAnsi="宋体"/>
        </w:rPr>
      </w:pPr>
      <w:r>
        <w:rPr>
          <w:rFonts w:ascii="宋体" w:hAnsi="宋体"/>
          <w:highlight w:val="white"/>
        </w:rPr>
        <w:t>注：</w:t>
      </w:r>
      <w:r>
        <w:rPr>
          <w:rFonts w:hint="eastAsia" w:ascii="宋体" w:hAnsi="宋体"/>
          <w:highlight w:val="white"/>
        </w:rPr>
        <w:t>1、</w:t>
      </w:r>
      <w:r>
        <w:rPr>
          <w:rFonts w:hint="eastAsia" w:ascii="宋体" w:hAnsi="宋体"/>
          <w:szCs w:val="21"/>
          <w:highlight w:val="white"/>
        </w:rPr>
        <w:t>磋商供应商</w:t>
      </w:r>
      <w:r>
        <w:rPr>
          <w:rFonts w:ascii="宋体" w:hAnsi="宋体"/>
          <w:highlight w:val="white"/>
        </w:rPr>
        <w:t>根据项目实际填写，表中单项，项目招标要求不涉及的可留空或自行调整。</w:t>
      </w:r>
    </w:p>
    <w:p>
      <w:pPr>
        <w:pStyle w:val="7"/>
        <w:rPr>
          <w:rFonts w:ascii="宋体" w:hAnsi="宋体"/>
          <w:b w:val="0"/>
          <w:sz w:val="21"/>
          <w:szCs w:val="21"/>
          <w:highlight w:val="white"/>
        </w:rPr>
      </w:pPr>
    </w:p>
    <w:p>
      <w:pPr>
        <w:pStyle w:val="7"/>
        <w:rPr>
          <w:rFonts w:ascii="宋体" w:hAnsi="宋体"/>
          <w:b w:val="0"/>
          <w:sz w:val="21"/>
          <w:szCs w:val="21"/>
          <w:highlight w:val="white"/>
        </w:rPr>
      </w:pPr>
    </w:p>
    <w:p/>
    <w:p>
      <w:pPr>
        <w:rPr>
          <w:rFonts w:ascii="宋体" w:hAnsi="宋体"/>
          <w:szCs w:val="21"/>
          <w:highlight w:val="white"/>
        </w:rPr>
      </w:pPr>
    </w:p>
    <w:p>
      <w:pPr>
        <w:rPr>
          <w:rFonts w:ascii="宋体" w:hAnsi="宋体"/>
          <w:szCs w:val="21"/>
          <w:highlight w:val="white"/>
        </w:rPr>
      </w:pPr>
    </w:p>
    <w:p>
      <w:pPr>
        <w:pStyle w:val="7"/>
        <w:rPr>
          <w:rFonts w:ascii="宋体" w:hAnsi="宋体"/>
          <w:b w:val="0"/>
          <w:sz w:val="21"/>
          <w:szCs w:val="21"/>
          <w:highlight w:val="white"/>
        </w:rPr>
      </w:pPr>
    </w:p>
    <w:p/>
    <w:p/>
    <w:p/>
    <w:p>
      <w:pPr>
        <w:tabs>
          <w:tab w:val="center" w:pos="4629"/>
        </w:tabs>
        <w:spacing w:before="240" w:after="480" w:line="500" w:lineRule="exact"/>
        <w:rPr>
          <w:rFonts w:ascii="宋体" w:hAnsi="宋体"/>
          <w:b/>
          <w:sz w:val="28"/>
          <w:szCs w:val="28"/>
        </w:rPr>
      </w:pPr>
    </w:p>
    <w:p>
      <w:pPr>
        <w:pStyle w:val="2"/>
        <w:ind w:firstLine="480"/>
      </w:pPr>
    </w:p>
    <w:p>
      <w:pPr>
        <w:pStyle w:val="2"/>
        <w:ind w:firstLine="480"/>
      </w:pPr>
    </w:p>
    <w:p>
      <w:pPr>
        <w:tabs>
          <w:tab w:val="center" w:pos="4629"/>
        </w:tabs>
        <w:rPr>
          <w:rFonts w:ascii="宋体" w:hAnsi="宋体" w:cs="TT0Bo00"/>
          <w:kern w:val="0"/>
          <w:sz w:val="28"/>
          <w:szCs w:val="28"/>
        </w:rPr>
      </w:pPr>
      <w:r>
        <w:rPr>
          <w:rFonts w:hint="eastAsia" w:ascii="宋体" w:hAnsi="宋体"/>
          <w:b/>
          <w:sz w:val="28"/>
          <w:szCs w:val="28"/>
        </w:rPr>
        <w:t>八、磋商供应商业绩汇总表</w:t>
      </w:r>
    </w:p>
    <w:tbl>
      <w:tblPr>
        <w:tblStyle w:val="23"/>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3001"/>
        <w:gridCol w:w="2340"/>
        <w:gridCol w:w="162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99" w:type="dxa"/>
            <w:vAlign w:val="center"/>
          </w:tcPr>
          <w:p>
            <w:pPr>
              <w:jc w:val="center"/>
              <w:rPr>
                <w:rFonts w:ascii="宋体" w:hAnsi="宋体"/>
                <w:szCs w:val="21"/>
                <w:highlight w:val="white"/>
              </w:rPr>
            </w:pPr>
            <w:r>
              <w:rPr>
                <w:rFonts w:hint="eastAsia" w:ascii="宋体" w:hAnsi="宋体"/>
                <w:szCs w:val="21"/>
                <w:highlight w:val="white"/>
              </w:rPr>
              <w:t>序号</w:t>
            </w:r>
          </w:p>
        </w:tc>
        <w:tc>
          <w:tcPr>
            <w:tcW w:w="3001" w:type="dxa"/>
            <w:vAlign w:val="center"/>
          </w:tcPr>
          <w:p>
            <w:pPr>
              <w:jc w:val="center"/>
              <w:rPr>
                <w:rFonts w:ascii="宋体" w:hAnsi="宋体"/>
                <w:szCs w:val="21"/>
                <w:highlight w:val="white"/>
              </w:rPr>
            </w:pPr>
            <w:r>
              <w:rPr>
                <w:rFonts w:hint="eastAsia" w:ascii="宋体" w:hAnsi="宋体"/>
                <w:szCs w:val="21"/>
                <w:highlight w:val="white"/>
              </w:rPr>
              <w:t>项目名称</w:t>
            </w:r>
          </w:p>
        </w:tc>
        <w:tc>
          <w:tcPr>
            <w:tcW w:w="2340" w:type="dxa"/>
            <w:vAlign w:val="center"/>
          </w:tcPr>
          <w:p>
            <w:pPr>
              <w:jc w:val="center"/>
              <w:rPr>
                <w:rFonts w:ascii="宋体" w:hAnsi="宋体"/>
                <w:szCs w:val="21"/>
                <w:highlight w:val="white"/>
              </w:rPr>
            </w:pPr>
            <w:r>
              <w:rPr>
                <w:rFonts w:hint="eastAsia" w:ascii="宋体" w:hAnsi="宋体"/>
                <w:szCs w:val="21"/>
                <w:highlight w:val="white"/>
              </w:rPr>
              <w:t>委托单位</w:t>
            </w:r>
          </w:p>
        </w:tc>
        <w:tc>
          <w:tcPr>
            <w:tcW w:w="1620" w:type="dxa"/>
            <w:vAlign w:val="center"/>
          </w:tcPr>
          <w:p>
            <w:pPr>
              <w:jc w:val="center"/>
              <w:rPr>
                <w:rFonts w:ascii="宋体" w:hAnsi="宋体"/>
                <w:szCs w:val="21"/>
                <w:highlight w:val="white"/>
              </w:rPr>
            </w:pPr>
            <w:r>
              <w:rPr>
                <w:rFonts w:hint="eastAsia" w:ascii="宋体" w:hAnsi="宋体"/>
                <w:szCs w:val="21"/>
                <w:highlight w:val="white"/>
              </w:rPr>
              <w:t>委托内容</w:t>
            </w:r>
          </w:p>
        </w:tc>
        <w:tc>
          <w:tcPr>
            <w:tcW w:w="1515" w:type="dxa"/>
            <w:vAlign w:val="center"/>
          </w:tcPr>
          <w:p>
            <w:pPr>
              <w:jc w:val="center"/>
              <w:rPr>
                <w:rFonts w:ascii="宋体" w:hAnsi="宋体"/>
                <w:szCs w:val="21"/>
                <w:highlight w:val="white"/>
              </w:rPr>
            </w:pPr>
            <w:r>
              <w:rPr>
                <w:rFonts w:hint="eastAsia" w:ascii="宋体" w:hAnsi="宋体"/>
                <w:szCs w:val="21"/>
                <w:highlight w:val="white"/>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szCs w:val="21"/>
                <w:highlight w:val="white"/>
              </w:rPr>
            </w:pPr>
          </w:p>
        </w:tc>
        <w:tc>
          <w:tcPr>
            <w:tcW w:w="3001" w:type="dxa"/>
            <w:vAlign w:val="center"/>
          </w:tcPr>
          <w:p>
            <w:pPr>
              <w:jc w:val="center"/>
              <w:rPr>
                <w:rFonts w:ascii="宋体" w:hAnsi="宋体"/>
                <w:szCs w:val="21"/>
                <w:highlight w:val="white"/>
              </w:rPr>
            </w:pPr>
          </w:p>
        </w:tc>
        <w:tc>
          <w:tcPr>
            <w:tcW w:w="2340" w:type="dxa"/>
            <w:vAlign w:val="center"/>
          </w:tcPr>
          <w:p>
            <w:pPr>
              <w:jc w:val="center"/>
              <w:rPr>
                <w:rFonts w:ascii="宋体" w:hAnsi="宋体"/>
                <w:szCs w:val="21"/>
                <w:highlight w:val="white"/>
              </w:rPr>
            </w:pPr>
          </w:p>
        </w:tc>
        <w:tc>
          <w:tcPr>
            <w:tcW w:w="1620" w:type="dxa"/>
            <w:vAlign w:val="center"/>
          </w:tcPr>
          <w:p>
            <w:pPr>
              <w:jc w:val="center"/>
              <w:rPr>
                <w:rFonts w:ascii="宋体" w:hAnsi="宋体"/>
                <w:szCs w:val="21"/>
                <w:highlight w:val="white"/>
              </w:rPr>
            </w:pPr>
          </w:p>
        </w:tc>
        <w:tc>
          <w:tcPr>
            <w:tcW w:w="1515" w:type="dxa"/>
            <w:vAlign w:val="center"/>
          </w:tcPr>
          <w:p>
            <w:pPr>
              <w:jc w:val="center"/>
              <w:rPr>
                <w:rFonts w:ascii="宋体" w:hAnsi="宋体"/>
                <w:szCs w:val="21"/>
                <w:highlight w:val="white"/>
              </w:rPr>
            </w:pPr>
          </w:p>
        </w:tc>
      </w:tr>
    </w:tbl>
    <w:p>
      <w:pPr>
        <w:spacing w:line="300" w:lineRule="auto"/>
        <w:rPr>
          <w:rFonts w:ascii="宋体" w:hAnsi="宋体"/>
          <w:szCs w:val="21"/>
        </w:rPr>
      </w:pPr>
      <w:r>
        <w:rPr>
          <w:rFonts w:hint="eastAsia" w:ascii="宋体" w:hAnsi="宋体"/>
          <w:szCs w:val="21"/>
          <w:highlight w:val="white"/>
        </w:rPr>
        <w:t>磋商供应商：</w:t>
      </w:r>
      <w:r>
        <w:rPr>
          <w:rFonts w:ascii="宋体" w:hAnsi="宋体"/>
          <w:szCs w:val="21"/>
          <w:highlight w:val="white"/>
        </w:rPr>
        <w:t>(</w:t>
      </w:r>
      <w:r>
        <w:rPr>
          <w:rFonts w:hint="eastAsia" w:ascii="宋体" w:hAnsi="宋体"/>
          <w:szCs w:val="21"/>
          <w:highlight w:val="white"/>
        </w:rPr>
        <w:t>盖单位公章</w:t>
      </w:r>
      <w:r>
        <w:rPr>
          <w:rFonts w:ascii="宋体" w:hAnsi="宋体"/>
          <w:szCs w:val="21"/>
          <w:highlight w:val="white"/>
        </w:rPr>
        <w:t>)</w:t>
      </w:r>
    </w:p>
    <w:p>
      <w:pPr>
        <w:spacing w:line="300" w:lineRule="auto"/>
        <w:rPr>
          <w:rFonts w:ascii="宋体" w:hAnsi="宋体"/>
          <w:szCs w:val="21"/>
          <w:highlight w:val="white"/>
        </w:rPr>
      </w:pPr>
      <w:r>
        <w:rPr>
          <w:rFonts w:hint="eastAsia" w:ascii="宋体" w:hAnsi="宋体"/>
          <w:szCs w:val="21"/>
          <w:highlight w:val="white"/>
        </w:rPr>
        <w:t>法人代表或授权代表：（纸质响应文件中须签字或盖章）</w:t>
      </w:r>
    </w:p>
    <w:p>
      <w:pPr>
        <w:spacing w:line="360" w:lineRule="exact"/>
        <w:ind w:firstLine="411" w:firstLineChars="196"/>
        <w:rPr>
          <w:rFonts w:ascii="宋体" w:hAnsi="宋体"/>
        </w:rPr>
      </w:pPr>
      <w:r>
        <w:rPr>
          <w:rFonts w:hint="eastAsia" w:ascii="宋体" w:hAnsi="宋体"/>
          <w:szCs w:val="21"/>
          <w:highlight w:val="white"/>
        </w:rPr>
        <w:t>注：1、磋商供应商</w:t>
      </w:r>
      <w:r>
        <w:rPr>
          <w:rFonts w:ascii="宋体" w:hAnsi="宋体"/>
          <w:highlight w:val="white"/>
        </w:rPr>
        <w:t>根据项目实际填写，表中单项，项目招标要求不涉及的可留空或自行调整。</w:t>
      </w:r>
    </w:p>
    <w:p>
      <w:pPr>
        <w:spacing w:line="300" w:lineRule="auto"/>
        <w:rPr>
          <w:rFonts w:ascii="宋体" w:hAnsi="宋体"/>
        </w:rPr>
      </w:pPr>
      <w:r>
        <w:rPr>
          <w:rFonts w:ascii="宋体" w:hAnsi="宋体"/>
        </w:rPr>
        <w:br w:type="page"/>
      </w:r>
    </w:p>
    <w:p>
      <w:pPr>
        <w:spacing w:line="500" w:lineRule="exact"/>
        <w:rPr>
          <w:rFonts w:ascii="宋体" w:hAnsi="宋体"/>
          <w:b/>
          <w:sz w:val="28"/>
          <w:szCs w:val="28"/>
        </w:rPr>
      </w:pPr>
      <w:r>
        <w:rPr>
          <w:rFonts w:hint="eastAsia" w:ascii="宋体" w:hAnsi="宋体"/>
          <w:sz w:val="30"/>
        </w:rPr>
        <w:t>九</w:t>
      </w:r>
      <w:r>
        <w:rPr>
          <w:rFonts w:hint="eastAsia" w:ascii="宋体" w:hAnsi="宋体"/>
          <w:b/>
          <w:sz w:val="28"/>
          <w:szCs w:val="28"/>
        </w:rPr>
        <w:t>、方案</w:t>
      </w:r>
    </w:p>
    <w:p>
      <w:pPr>
        <w:autoSpaceDE w:val="0"/>
        <w:autoSpaceDN w:val="0"/>
        <w:adjustRightInd w:val="0"/>
        <w:jc w:val="center"/>
        <w:rPr>
          <w:rFonts w:ascii="宋体" w:hAnsi="宋体"/>
          <w:sz w:val="28"/>
          <w:szCs w:val="28"/>
        </w:rPr>
      </w:pPr>
      <w:r>
        <w:rPr>
          <w:rFonts w:hint="eastAsia" w:ascii="宋体" w:hAnsi="宋体"/>
          <w:sz w:val="28"/>
          <w:szCs w:val="28"/>
        </w:rPr>
        <w:t>（磋商供应商根据本项目情况和企业实际自行编制）</w:t>
      </w:r>
    </w:p>
    <w:p>
      <w:pPr>
        <w:spacing w:line="500" w:lineRule="exact"/>
        <w:ind w:right="57" w:firstLine="600" w:firstLineChars="200"/>
        <w:jc w:val="left"/>
        <w:rPr>
          <w:rFonts w:ascii="宋体" w:hAnsi="宋体"/>
          <w:sz w:val="30"/>
          <w:szCs w:val="22"/>
        </w:rPr>
      </w:pPr>
    </w:p>
    <w:p>
      <w:pPr>
        <w:spacing w:line="500" w:lineRule="exact"/>
        <w:ind w:right="57" w:firstLine="600" w:firstLineChars="200"/>
        <w:jc w:val="left"/>
        <w:rPr>
          <w:rFonts w:ascii="宋体" w:hAnsi="宋体"/>
          <w:sz w:val="30"/>
          <w:szCs w:val="22"/>
        </w:rPr>
      </w:pPr>
    </w:p>
    <w:p>
      <w:pPr>
        <w:spacing w:line="500" w:lineRule="exact"/>
        <w:ind w:right="57" w:firstLine="600" w:firstLineChars="200"/>
        <w:jc w:val="left"/>
        <w:rPr>
          <w:rFonts w:ascii="宋体" w:hAnsi="宋体"/>
          <w:sz w:val="30"/>
          <w:szCs w:val="22"/>
        </w:rPr>
      </w:pPr>
    </w:p>
    <w:p>
      <w:pPr>
        <w:spacing w:line="500" w:lineRule="exact"/>
        <w:ind w:right="57" w:firstLine="562" w:firstLineChars="200"/>
        <w:jc w:val="center"/>
        <w:rPr>
          <w:rFonts w:ascii="宋体" w:hAnsi="宋体"/>
          <w:b/>
          <w:sz w:val="28"/>
          <w:szCs w:val="28"/>
        </w:rPr>
      </w:pPr>
    </w:p>
    <w:p>
      <w:pPr>
        <w:spacing w:line="500" w:lineRule="exact"/>
        <w:ind w:right="57" w:firstLine="562" w:firstLineChars="200"/>
        <w:jc w:val="center"/>
        <w:rPr>
          <w:rFonts w:ascii="宋体" w:hAnsi="宋体"/>
          <w:b/>
          <w:sz w:val="28"/>
          <w:szCs w:val="28"/>
        </w:rPr>
      </w:pPr>
    </w:p>
    <w:p>
      <w:pPr>
        <w:spacing w:line="500" w:lineRule="exact"/>
        <w:ind w:right="57" w:firstLine="562" w:firstLineChars="200"/>
        <w:jc w:val="center"/>
        <w:rPr>
          <w:rFonts w:ascii="宋体" w:hAnsi="宋体"/>
          <w:b/>
          <w:sz w:val="28"/>
          <w:szCs w:val="28"/>
        </w:rPr>
      </w:pPr>
    </w:p>
    <w:p>
      <w:pPr>
        <w:spacing w:line="500" w:lineRule="exact"/>
        <w:ind w:right="57"/>
        <w:jc w:val="center"/>
        <w:rPr>
          <w:b/>
          <w:sz w:val="28"/>
          <w:szCs w:val="28"/>
        </w:rPr>
      </w:pPr>
      <w:r>
        <w:rPr>
          <w:rFonts w:hint="eastAsia" w:ascii="宋体" w:hAnsi="宋体"/>
          <w:b/>
          <w:sz w:val="28"/>
          <w:szCs w:val="28"/>
        </w:rPr>
        <w:t>十、磋商文件要求磋商供应商提供的或磋商供应商认为需要提供的其它内容</w:t>
      </w:r>
    </w:p>
    <w:p>
      <w:pPr>
        <w:pStyle w:val="21"/>
        <w:spacing w:before="0" w:beforeAutospacing="0" w:after="0" w:afterAutospacing="0"/>
      </w:pPr>
    </w:p>
    <w:p>
      <w:pPr>
        <w:pStyle w:val="21"/>
        <w:spacing w:before="0" w:beforeAutospacing="0" w:after="0" w:afterAutospacing="0"/>
      </w:pPr>
    </w:p>
    <w:p>
      <w:pPr>
        <w:pStyle w:val="21"/>
        <w:spacing w:before="0" w:beforeAutospacing="0" w:after="0" w:afterAutospacing="0"/>
      </w:pPr>
    </w:p>
    <w:p>
      <w:pPr>
        <w:widowControl/>
        <w:spacing w:line="360" w:lineRule="auto"/>
        <w:ind w:left="180"/>
        <w:jc w:val="center"/>
        <w:rPr>
          <w:rFonts w:ascii="宋体" w:hAnsi="宋体"/>
          <w:b/>
          <w:sz w:val="28"/>
          <w:szCs w:val="28"/>
        </w:rPr>
      </w:pPr>
      <w:r>
        <w:rPr>
          <w:rFonts w:ascii="宋体" w:hAnsi="宋体"/>
          <w:sz w:val="32"/>
          <w:szCs w:val="32"/>
          <w:highlight w:val="white"/>
        </w:rPr>
        <w:br w:type="page"/>
      </w:r>
      <w:r>
        <w:rPr>
          <w:rFonts w:hint="eastAsia" w:ascii="宋体" w:hAnsi="宋体"/>
          <w:sz w:val="32"/>
          <w:szCs w:val="32"/>
          <w:highlight w:val="white"/>
        </w:rPr>
        <w:t>十一</w:t>
      </w:r>
      <w:r>
        <w:rPr>
          <w:rFonts w:hint="eastAsia" w:ascii="宋体" w:hAnsi="宋体"/>
          <w:b/>
          <w:sz w:val="28"/>
          <w:szCs w:val="28"/>
          <w:highlight w:val="white"/>
        </w:rPr>
        <w:t>、答疑（或补疑）回复签收回执（格式）</w:t>
      </w:r>
    </w:p>
    <w:p>
      <w:pPr>
        <w:spacing w:line="360" w:lineRule="auto"/>
        <w:rPr>
          <w:rFonts w:ascii="宋体" w:hAnsi="宋体"/>
          <w:szCs w:val="21"/>
        </w:rPr>
      </w:pPr>
    </w:p>
    <w:p>
      <w:pPr>
        <w:spacing w:line="360" w:lineRule="auto"/>
        <w:rPr>
          <w:rFonts w:ascii="宋体" w:hAnsi="宋体"/>
          <w:sz w:val="28"/>
          <w:szCs w:val="28"/>
        </w:rPr>
      </w:pPr>
      <w:r>
        <w:rPr>
          <w:rFonts w:hint="eastAsia" w:ascii="宋体" w:hAnsi="宋体"/>
          <w:sz w:val="28"/>
          <w:szCs w:val="28"/>
          <w:highlight w:val="white"/>
        </w:rPr>
        <w:t>致</w:t>
      </w:r>
      <w:r>
        <w:rPr>
          <w:rFonts w:hint="eastAsia" w:ascii="宋体" w:hAnsi="宋体" w:cs="Arial"/>
          <w:sz w:val="28"/>
          <w:szCs w:val="28"/>
          <w:highlight w:val="white"/>
        </w:rPr>
        <w:t>（采购代理机构）</w:t>
      </w:r>
      <w:r>
        <w:rPr>
          <w:rFonts w:hint="eastAsia" w:ascii="宋体" w:hAnsi="宋体"/>
          <w:sz w:val="28"/>
          <w:szCs w:val="28"/>
          <w:highlight w:val="white"/>
        </w:rPr>
        <w:t>：</w:t>
      </w:r>
    </w:p>
    <w:p>
      <w:pPr>
        <w:spacing w:line="360" w:lineRule="auto"/>
        <w:ind w:firstLine="560" w:firstLineChars="200"/>
        <w:rPr>
          <w:rFonts w:ascii="宋体" w:hAnsi="宋体"/>
          <w:sz w:val="28"/>
          <w:szCs w:val="28"/>
        </w:rPr>
      </w:pPr>
      <w:r>
        <w:rPr>
          <w:rFonts w:hint="eastAsia" w:ascii="宋体" w:hAnsi="宋体"/>
          <w:sz w:val="28"/>
          <w:szCs w:val="28"/>
          <w:highlight w:val="white"/>
        </w:rPr>
        <w:t>我单位已于年 月日上网获知（或委派代表前来领取）你处对本项目的答疑回复（或磋商补充文件）。</w:t>
      </w:r>
    </w:p>
    <w:p>
      <w:pPr>
        <w:spacing w:line="360" w:lineRule="auto"/>
        <w:ind w:firstLine="560" w:firstLineChars="200"/>
        <w:rPr>
          <w:rFonts w:ascii="宋体" w:hAnsi="宋体"/>
          <w:sz w:val="28"/>
          <w:szCs w:val="28"/>
        </w:rPr>
      </w:pPr>
      <w:r>
        <w:rPr>
          <w:rFonts w:hint="eastAsia" w:ascii="宋体" w:hAnsi="宋体"/>
          <w:sz w:val="28"/>
          <w:szCs w:val="28"/>
          <w:highlight w:val="white"/>
        </w:rPr>
        <w:t>特回函确认。</w:t>
      </w:r>
    </w:p>
    <w:p>
      <w:pPr>
        <w:spacing w:line="360" w:lineRule="auto"/>
        <w:jc w:val="right"/>
        <w:rPr>
          <w:rFonts w:ascii="宋体" w:hAnsi="宋体"/>
          <w:sz w:val="28"/>
          <w:szCs w:val="28"/>
        </w:rPr>
      </w:pPr>
    </w:p>
    <w:p>
      <w:pPr>
        <w:spacing w:line="360" w:lineRule="auto"/>
        <w:ind w:firstLine="560" w:firstLineChars="200"/>
        <w:jc w:val="right"/>
        <w:rPr>
          <w:rFonts w:ascii="宋体" w:hAnsi="宋体"/>
          <w:sz w:val="28"/>
          <w:szCs w:val="28"/>
          <w:highlight w:val="white"/>
        </w:rPr>
      </w:pPr>
      <w:r>
        <w:rPr>
          <w:rFonts w:hint="eastAsia" w:ascii="宋体" w:hAnsi="宋体"/>
          <w:sz w:val="28"/>
          <w:szCs w:val="28"/>
          <w:highlight w:val="white"/>
        </w:rPr>
        <w:t>磋商供应商：(盖单位公章)</w:t>
      </w:r>
    </w:p>
    <w:p>
      <w:pPr>
        <w:spacing w:line="360" w:lineRule="auto"/>
        <w:ind w:firstLine="560" w:firstLineChars="200"/>
        <w:jc w:val="right"/>
        <w:rPr>
          <w:rFonts w:ascii="宋体" w:hAnsi="宋体"/>
          <w:sz w:val="28"/>
          <w:szCs w:val="28"/>
          <w:highlight w:val="white"/>
        </w:rPr>
      </w:pPr>
      <w:r>
        <w:rPr>
          <w:rFonts w:hint="eastAsia" w:ascii="宋体" w:hAnsi="宋体"/>
          <w:sz w:val="28"/>
          <w:szCs w:val="28"/>
          <w:highlight w:val="white"/>
        </w:rPr>
        <w:t>法人代表或授权代表：（纸质响应文件中须签字或盖章）</w:t>
      </w:r>
    </w:p>
    <w:p>
      <w:pPr>
        <w:spacing w:line="360" w:lineRule="auto"/>
        <w:ind w:right="480"/>
        <w:jc w:val="right"/>
        <w:rPr>
          <w:rFonts w:ascii="宋体" w:hAnsi="宋体"/>
          <w:sz w:val="28"/>
          <w:szCs w:val="28"/>
        </w:rPr>
      </w:pPr>
      <w:r>
        <w:rPr>
          <w:rFonts w:hint="eastAsia" w:ascii="宋体" w:hAnsi="宋体"/>
          <w:sz w:val="28"/>
          <w:szCs w:val="28"/>
          <w:highlight w:val="white"/>
        </w:rPr>
        <w:t>年    月    日</w:t>
      </w:r>
    </w:p>
    <w:p>
      <w:pPr>
        <w:spacing w:line="360" w:lineRule="auto"/>
        <w:ind w:firstLine="102" w:firstLineChars="49"/>
        <w:rPr>
          <w:rFonts w:ascii="宋体" w:hAnsi="宋体"/>
          <w:szCs w:val="21"/>
        </w:rPr>
      </w:pPr>
      <w:r>
        <w:rPr>
          <w:rFonts w:hint="eastAsia" w:ascii="宋体" w:hAnsi="宋体"/>
          <w:szCs w:val="21"/>
        </w:rPr>
        <w:t>注：1、本项应在采购过程中有涉及时须填写。</w:t>
      </w:r>
    </w:p>
    <w:p>
      <w:pPr>
        <w:spacing w:line="360" w:lineRule="auto"/>
        <w:ind w:right="480"/>
        <w:jc w:val="left"/>
        <w:rPr>
          <w:rFonts w:ascii="宋体" w:hAnsi="宋体"/>
          <w:sz w:val="28"/>
          <w:szCs w:val="28"/>
        </w:rPr>
      </w:pPr>
      <w:r>
        <w:rPr>
          <w:rFonts w:hint="eastAsia" w:ascii="宋体" w:hAnsi="宋体"/>
          <w:szCs w:val="21"/>
        </w:rPr>
        <w:t xml:space="preserve"> 2、并非所有采购项目均涉及回执项，仅供有需要项目参考。</w:t>
      </w:r>
    </w:p>
    <w:p>
      <w:pPr>
        <w:spacing w:line="360" w:lineRule="auto"/>
        <w:ind w:right="480"/>
        <w:jc w:val="right"/>
        <w:rPr>
          <w:rFonts w:ascii="宋体" w:hAnsi="宋体"/>
          <w:sz w:val="28"/>
          <w:szCs w:val="28"/>
        </w:rPr>
      </w:pPr>
    </w:p>
    <w:p>
      <w:pPr>
        <w:spacing w:line="360" w:lineRule="auto"/>
        <w:ind w:right="480"/>
        <w:jc w:val="center"/>
        <w:rPr>
          <w:rFonts w:ascii="宋体" w:hAnsi="宋体"/>
          <w:b/>
          <w:sz w:val="28"/>
          <w:szCs w:val="28"/>
        </w:rPr>
      </w:pPr>
      <w:r>
        <w:rPr>
          <w:rFonts w:hint="eastAsia" w:ascii="宋体" w:hAnsi="宋体"/>
          <w:b/>
          <w:sz w:val="28"/>
          <w:szCs w:val="28"/>
        </w:rPr>
        <w:t>十二、投标人应提供的各类资格及证明材料</w:t>
      </w:r>
      <w:r>
        <w:rPr>
          <w:rFonts w:hint="eastAsia" w:ascii="宋体" w:hAnsi="宋体"/>
          <w:b/>
          <w:sz w:val="28"/>
          <w:szCs w:val="28"/>
          <w:highlight w:val="white"/>
        </w:rPr>
        <w:t>（格式）</w:t>
      </w:r>
    </w:p>
    <w:p>
      <w:pPr>
        <w:spacing w:line="360" w:lineRule="auto"/>
        <w:jc w:val="center"/>
        <w:rPr>
          <w:rFonts w:ascii="宋体" w:hAnsi="宋体"/>
          <w:szCs w:val="21"/>
        </w:rPr>
      </w:pPr>
    </w:p>
    <w:p>
      <w:pPr>
        <w:spacing w:line="360" w:lineRule="auto"/>
        <w:ind w:firstLine="560" w:firstLineChars="200"/>
        <w:rPr>
          <w:rFonts w:ascii="宋体" w:hAnsi="宋体"/>
          <w:sz w:val="28"/>
          <w:szCs w:val="28"/>
          <w:highlight w:val="white"/>
        </w:rPr>
      </w:pPr>
      <w:r>
        <w:rPr>
          <w:rFonts w:hint="eastAsia" w:ascii="宋体" w:hAnsi="宋体"/>
          <w:sz w:val="28"/>
          <w:szCs w:val="28"/>
          <w:highlight w:val="white"/>
        </w:rPr>
        <w:t>参加磋商的供应商在响应文件中至少须提供以下证明材料：</w:t>
      </w:r>
    </w:p>
    <w:p>
      <w:pPr>
        <w:spacing w:line="360" w:lineRule="auto"/>
        <w:ind w:firstLine="560" w:firstLineChars="200"/>
        <w:rPr>
          <w:rFonts w:ascii="宋体" w:hAnsi="宋体"/>
          <w:sz w:val="28"/>
          <w:szCs w:val="28"/>
        </w:rPr>
      </w:pPr>
      <w:r>
        <w:rPr>
          <w:rFonts w:hint="eastAsia" w:ascii="宋体" w:hAnsi="宋体"/>
          <w:sz w:val="28"/>
          <w:szCs w:val="28"/>
          <w:highlight w:val="white"/>
        </w:rPr>
        <w:t>1、营业执照副本或事业单位法人证书复印件(须加盖投标人公章)</w:t>
      </w:r>
    </w:p>
    <w:p>
      <w:pPr>
        <w:spacing w:line="360" w:lineRule="auto"/>
        <w:ind w:firstLine="560" w:firstLineChars="200"/>
        <w:rPr>
          <w:rFonts w:ascii="宋体" w:hAnsi="宋体"/>
          <w:sz w:val="28"/>
          <w:szCs w:val="28"/>
        </w:rPr>
      </w:pPr>
      <w:r>
        <w:rPr>
          <w:rFonts w:hint="eastAsia" w:ascii="宋体" w:hAnsi="宋体"/>
          <w:sz w:val="28"/>
          <w:szCs w:val="28"/>
          <w:highlight w:val="white"/>
        </w:rPr>
        <w:t>2、税务登记证副本复印件(须加盖投标人公章)</w:t>
      </w:r>
    </w:p>
    <w:p>
      <w:pPr>
        <w:spacing w:line="360" w:lineRule="auto"/>
        <w:ind w:firstLine="560" w:firstLineChars="200"/>
        <w:rPr>
          <w:rFonts w:ascii="宋体" w:hAnsi="宋体"/>
          <w:sz w:val="28"/>
          <w:szCs w:val="28"/>
          <w:highlight w:val="white"/>
        </w:rPr>
      </w:pPr>
      <w:r>
        <w:rPr>
          <w:rFonts w:hint="eastAsia" w:ascii="宋体" w:hAnsi="宋体"/>
          <w:sz w:val="28"/>
          <w:szCs w:val="28"/>
          <w:highlight w:val="white"/>
        </w:rPr>
        <w:t>3、资质证书复印件 (须加盖投标人公章) (如果要求)</w:t>
      </w:r>
    </w:p>
    <w:p>
      <w:pPr>
        <w:spacing w:line="360" w:lineRule="auto"/>
        <w:ind w:firstLine="560" w:firstLineChars="200"/>
        <w:rPr>
          <w:rFonts w:ascii="宋体" w:hAnsi="宋体"/>
          <w:sz w:val="28"/>
          <w:szCs w:val="28"/>
          <w:highlight w:val="white"/>
        </w:rPr>
      </w:pPr>
      <w:r>
        <w:rPr>
          <w:rFonts w:hint="eastAsia" w:ascii="宋体" w:hAnsi="宋体"/>
          <w:sz w:val="28"/>
          <w:szCs w:val="28"/>
          <w:highlight w:val="white"/>
        </w:rPr>
        <w:t>4、法定代表人证明或授权委托书</w:t>
      </w:r>
    </w:p>
    <w:p>
      <w:pPr>
        <w:spacing w:line="360" w:lineRule="auto"/>
        <w:ind w:firstLine="560" w:firstLineChars="200"/>
        <w:rPr>
          <w:rFonts w:ascii="宋体" w:hAnsi="宋体"/>
          <w:sz w:val="28"/>
          <w:szCs w:val="28"/>
        </w:rPr>
      </w:pPr>
      <w:r>
        <w:rPr>
          <w:rFonts w:hint="eastAsia" w:ascii="宋体" w:hAnsi="宋体"/>
          <w:sz w:val="28"/>
          <w:szCs w:val="28"/>
          <w:highlight w:val="white"/>
        </w:rPr>
        <w:t>5、磋商文件要求磋商供应商提供的或磋商供应商认为需要提供的其它内容。</w:t>
      </w:r>
    </w:p>
    <w:p>
      <w:pPr>
        <w:spacing w:line="360" w:lineRule="auto"/>
        <w:rPr>
          <w:sz w:val="28"/>
          <w:szCs w:val="28"/>
        </w:rPr>
      </w:pPr>
    </w:p>
    <w:p>
      <w:pPr>
        <w:rPr>
          <w:sz w:val="28"/>
          <w:szCs w:val="28"/>
        </w:rPr>
      </w:pPr>
    </w:p>
    <w:sectPr>
      <w:pgSz w:w="11906" w:h="16838"/>
      <w:pgMar w:top="1247" w:right="1134" w:bottom="79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7A"/>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DotumChe">
    <w:panose1 w:val="020B0609000101010101"/>
    <w:charset w:val="81"/>
    <w:family w:val="moder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TT0Bo0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Style w:val="27"/>
      </w:rPr>
    </w:pPr>
    <w:r>
      <w:rPr>
        <w:rStyle w:val="27"/>
      </w:rPr>
      <w:t>第</w:t>
    </w:r>
    <w:r>
      <w:fldChar w:fldCharType="begin"/>
    </w:r>
    <w:r>
      <w:rPr>
        <w:rStyle w:val="27"/>
      </w:rPr>
      <w:instrText xml:space="preserve"> PAGE </w:instrText>
    </w:r>
    <w:r>
      <w:fldChar w:fldCharType="separate"/>
    </w:r>
    <w:r>
      <w:rPr>
        <w:rStyle w:val="27"/>
      </w:rPr>
      <w:t>1</w:t>
    </w:r>
    <w:r>
      <w:fldChar w:fldCharType="end"/>
    </w:r>
    <w:r>
      <w:rPr>
        <w:rStyle w:val="27"/>
      </w:rPr>
      <w:t>页 共</w:t>
    </w:r>
    <w:r>
      <w:fldChar w:fldCharType="begin"/>
    </w:r>
    <w:r>
      <w:rPr>
        <w:rStyle w:val="27"/>
      </w:rPr>
      <w:instrText xml:space="preserve"> NUMPAGES </w:instrText>
    </w:r>
    <w:r>
      <w:fldChar w:fldCharType="separate"/>
    </w:r>
    <w:r>
      <w:rPr>
        <w:rStyle w:val="27"/>
      </w:rPr>
      <w:t>30</w:t>
    </w:r>
    <w:r>
      <w:fldChar w:fldCharType="end"/>
    </w:r>
    <w:r>
      <w:rPr>
        <w:rStyle w:val="27"/>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t>陕西安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space"/>
      <w:lvlText w:val="第%1章"/>
      <w:lvlJc w:val="left"/>
      <w:rPr>
        <w:rFonts w:hint="eastAsia"/>
      </w:rPr>
    </w:lvl>
  </w:abstractNum>
  <w:abstractNum w:abstractNumId="1">
    <w:nsid w:val="0053208E"/>
    <w:multiLevelType w:val="singleLevel"/>
    <w:tmpl w:val="0053208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98"/>
    <w:rsid w:val="001F32B0"/>
    <w:rsid w:val="00385B8A"/>
    <w:rsid w:val="00492998"/>
    <w:rsid w:val="004E7E00"/>
    <w:rsid w:val="00567ED8"/>
    <w:rsid w:val="005D69F0"/>
    <w:rsid w:val="0069671E"/>
    <w:rsid w:val="00B3756D"/>
    <w:rsid w:val="00B837E4"/>
    <w:rsid w:val="00BB4F8D"/>
    <w:rsid w:val="01C44E28"/>
    <w:rsid w:val="049E4D85"/>
    <w:rsid w:val="05FE11ED"/>
    <w:rsid w:val="0757520F"/>
    <w:rsid w:val="0E510185"/>
    <w:rsid w:val="10C03505"/>
    <w:rsid w:val="132B08B6"/>
    <w:rsid w:val="19A90AD1"/>
    <w:rsid w:val="1A5147D5"/>
    <w:rsid w:val="1BFD521C"/>
    <w:rsid w:val="1C2B6513"/>
    <w:rsid w:val="1CAB6CA2"/>
    <w:rsid w:val="1F227B34"/>
    <w:rsid w:val="21AD3973"/>
    <w:rsid w:val="227B722A"/>
    <w:rsid w:val="24FD1B44"/>
    <w:rsid w:val="2651726E"/>
    <w:rsid w:val="2AAB08B5"/>
    <w:rsid w:val="3A421303"/>
    <w:rsid w:val="3A8F16F8"/>
    <w:rsid w:val="3EF525CE"/>
    <w:rsid w:val="3F4366FF"/>
    <w:rsid w:val="3F5B5BA5"/>
    <w:rsid w:val="3FED0491"/>
    <w:rsid w:val="42C96DC2"/>
    <w:rsid w:val="43CC78C9"/>
    <w:rsid w:val="456F4EAE"/>
    <w:rsid w:val="45C90DE7"/>
    <w:rsid w:val="499573C4"/>
    <w:rsid w:val="4AA40991"/>
    <w:rsid w:val="4D7E1511"/>
    <w:rsid w:val="51D766B0"/>
    <w:rsid w:val="51F12C2A"/>
    <w:rsid w:val="520C39AF"/>
    <w:rsid w:val="55394B7A"/>
    <w:rsid w:val="56E954F5"/>
    <w:rsid w:val="634C6EAD"/>
    <w:rsid w:val="6375738A"/>
    <w:rsid w:val="64E45F01"/>
    <w:rsid w:val="67207901"/>
    <w:rsid w:val="6BCF0A6D"/>
    <w:rsid w:val="6C0C30ED"/>
    <w:rsid w:val="6C235E72"/>
    <w:rsid w:val="6CE60528"/>
    <w:rsid w:val="6D3B0178"/>
    <w:rsid w:val="6EA24D10"/>
    <w:rsid w:val="6F3B5688"/>
    <w:rsid w:val="72C23949"/>
    <w:rsid w:val="783E30E6"/>
    <w:rsid w:val="7A3325A2"/>
    <w:rsid w:val="7DA9401F"/>
    <w:rsid w:val="7F7B0B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73"/>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70"/>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link w:val="72"/>
    <w:qFormat/>
    <w:uiPriority w:val="0"/>
    <w:pPr>
      <w:spacing w:line="300" w:lineRule="auto"/>
      <w:ind w:firstLine="480" w:firstLineChars="200"/>
    </w:pPr>
    <w:rPr>
      <w:rFonts w:ascii="仿宋_GB2312" w:eastAsia="仿宋_GB2312"/>
      <w:sz w:val="24"/>
      <w:szCs w:val="21"/>
    </w:rPr>
  </w:style>
  <w:style w:type="paragraph" w:styleId="4">
    <w:name w:val="envelope return"/>
    <w:basedOn w:val="1"/>
    <w:qFormat/>
    <w:uiPriority w:val="99"/>
    <w:pPr>
      <w:snapToGrid w:val="0"/>
    </w:pPr>
    <w:rPr>
      <w:rFonts w:ascii="Arial" w:hAnsi="Arial" w:cs="Arial"/>
    </w:rPr>
  </w:style>
  <w:style w:type="paragraph" w:styleId="8">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9">
    <w:name w:val="Document Map"/>
    <w:basedOn w:val="1"/>
    <w:link w:val="69"/>
    <w:qFormat/>
    <w:uiPriority w:val="0"/>
    <w:pPr>
      <w:shd w:val="clear" w:color="auto" w:fill="000080"/>
    </w:pPr>
  </w:style>
  <w:style w:type="paragraph" w:styleId="10">
    <w:name w:val="annotation text"/>
    <w:basedOn w:val="1"/>
    <w:link w:val="68"/>
    <w:qFormat/>
    <w:uiPriority w:val="0"/>
    <w:pPr>
      <w:jc w:val="left"/>
    </w:pPr>
  </w:style>
  <w:style w:type="paragraph" w:styleId="11">
    <w:name w:val="Body Text"/>
    <w:basedOn w:val="1"/>
    <w:link w:val="60"/>
    <w:qFormat/>
    <w:uiPriority w:val="0"/>
    <w:pPr>
      <w:spacing w:after="120"/>
    </w:pPr>
  </w:style>
  <w:style w:type="paragraph" w:styleId="12">
    <w:name w:val="toc 3"/>
    <w:basedOn w:val="1"/>
    <w:next w:val="1"/>
    <w:qFormat/>
    <w:uiPriority w:val="0"/>
    <w:pPr>
      <w:ind w:left="840" w:leftChars="400"/>
    </w:pPr>
  </w:style>
  <w:style w:type="paragraph" w:styleId="13">
    <w:name w:val="Plain Text"/>
    <w:basedOn w:val="1"/>
    <w:link w:val="64"/>
    <w:qFormat/>
    <w:uiPriority w:val="0"/>
    <w:rPr>
      <w:rFonts w:ascii="宋体" w:hAnsi="Courier New"/>
      <w:szCs w:val="20"/>
    </w:rPr>
  </w:style>
  <w:style w:type="paragraph" w:styleId="14">
    <w:name w:val="Date"/>
    <w:basedOn w:val="1"/>
    <w:next w:val="1"/>
    <w:link w:val="59"/>
    <w:qFormat/>
    <w:uiPriority w:val="0"/>
    <w:pPr>
      <w:widowControl/>
      <w:ind w:left="100" w:leftChars="2500"/>
      <w:jc w:val="left"/>
    </w:pPr>
    <w:rPr>
      <w:rFonts w:ascii="黑体" w:hAnsi="宋体" w:eastAsia="黑体"/>
      <w:b/>
      <w:bCs/>
      <w:color w:val="000000"/>
      <w:kern w:val="0"/>
      <w:sz w:val="44"/>
      <w:szCs w:val="36"/>
    </w:rPr>
  </w:style>
  <w:style w:type="paragraph" w:styleId="15">
    <w:name w:val="Body Text Indent 2"/>
    <w:basedOn w:val="1"/>
    <w:link w:val="71"/>
    <w:qFormat/>
    <w:uiPriority w:val="0"/>
    <w:pPr>
      <w:spacing w:after="120" w:line="480" w:lineRule="auto"/>
      <w:ind w:left="420" w:leftChars="200"/>
    </w:pPr>
  </w:style>
  <w:style w:type="paragraph" w:styleId="16">
    <w:name w:val="Balloon Text"/>
    <w:basedOn w:val="1"/>
    <w:link w:val="62"/>
    <w:qFormat/>
    <w:uiPriority w:val="0"/>
    <w:rPr>
      <w:sz w:val="18"/>
      <w:szCs w:val="18"/>
    </w:rPr>
  </w:style>
  <w:style w:type="paragraph" w:styleId="17">
    <w:name w:val="footer"/>
    <w:basedOn w:val="1"/>
    <w:link w:val="61"/>
    <w:qFormat/>
    <w:uiPriority w:val="0"/>
    <w:pPr>
      <w:tabs>
        <w:tab w:val="center" w:pos="4153"/>
        <w:tab w:val="right" w:pos="8306"/>
      </w:tabs>
      <w:snapToGrid w:val="0"/>
      <w:jc w:val="left"/>
    </w:pPr>
    <w:rPr>
      <w:sz w:val="18"/>
    </w:rPr>
  </w:style>
  <w:style w:type="paragraph" w:styleId="18">
    <w:name w:val="header"/>
    <w:basedOn w:val="1"/>
    <w:link w:val="5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paragraph" w:styleId="22">
    <w:name w:val="Body Text First Indent"/>
    <w:basedOn w:val="11"/>
    <w:link w:val="63"/>
    <w:qFormat/>
    <w:uiPriority w:val="0"/>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99"/>
    <w:rPr>
      <w:color w:val="800080"/>
      <w:u w:val="none"/>
    </w:rPr>
  </w:style>
  <w:style w:type="character" w:styleId="29">
    <w:name w:val="Emphasis"/>
    <w:qFormat/>
    <w:uiPriority w:val="20"/>
    <w:rPr>
      <w:b/>
    </w:rPr>
  </w:style>
  <w:style w:type="character" w:styleId="30">
    <w:name w:val="HTML Definition"/>
    <w:basedOn w:val="25"/>
    <w:qFormat/>
    <w:uiPriority w:val="99"/>
  </w:style>
  <w:style w:type="character" w:styleId="31">
    <w:name w:val="HTML Typewriter"/>
    <w:qFormat/>
    <w:uiPriority w:val="99"/>
    <w:rPr>
      <w:rFonts w:hint="default" w:ascii="monospace" w:hAnsi="monospace" w:eastAsia="monospace" w:cs="monospace"/>
      <w:sz w:val="20"/>
    </w:rPr>
  </w:style>
  <w:style w:type="character" w:styleId="32">
    <w:name w:val="HTML Acronym"/>
    <w:qFormat/>
    <w:uiPriority w:val="99"/>
    <w:rPr>
      <w:vanish/>
    </w:rPr>
  </w:style>
  <w:style w:type="character" w:styleId="33">
    <w:name w:val="HTML Variable"/>
    <w:basedOn w:val="25"/>
    <w:qFormat/>
    <w:uiPriority w:val="99"/>
  </w:style>
  <w:style w:type="character" w:styleId="34">
    <w:name w:val="Hyperlink"/>
    <w:basedOn w:val="25"/>
    <w:qFormat/>
    <w:uiPriority w:val="0"/>
    <w:rPr>
      <w:color w:val="0000FF"/>
      <w:u w:val="none"/>
    </w:rPr>
  </w:style>
  <w:style w:type="character" w:styleId="35">
    <w:name w:val="HTML Code"/>
    <w:qFormat/>
    <w:uiPriority w:val="99"/>
    <w:rPr>
      <w:rFonts w:ascii="monospace" w:hAnsi="monospace" w:eastAsia="monospace" w:cs="monospace"/>
      <w:sz w:val="20"/>
    </w:rPr>
  </w:style>
  <w:style w:type="character" w:styleId="36">
    <w:name w:val="HTML Cite"/>
    <w:basedOn w:val="25"/>
    <w:qFormat/>
    <w:uiPriority w:val="99"/>
  </w:style>
  <w:style w:type="character" w:styleId="37">
    <w:name w:val="HTML Keyboard"/>
    <w:qFormat/>
    <w:uiPriority w:val="99"/>
    <w:rPr>
      <w:rFonts w:hint="default" w:ascii="monospace" w:hAnsi="monospace" w:eastAsia="monospace" w:cs="monospace"/>
      <w:sz w:val="20"/>
    </w:rPr>
  </w:style>
  <w:style w:type="character" w:styleId="38">
    <w:name w:val="HTML Sample"/>
    <w:qFormat/>
    <w:uiPriority w:val="99"/>
    <w:rPr>
      <w:rFonts w:hint="default" w:ascii="monospace" w:hAnsi="monospace" w:eastAsia="monospace" w:cs="monospace"/>
    </w:rPr>
  </w:style>
  <w:style w:type="paragraph" w:customStyle="1" w:styleId="39">
    <w:name w:val="正文 1.1.1"/>
    <w:basedOn w:val="1"/>
    <w:next w:val="1"/>
    <w:qFormat/>
    <w:uiPriority w:val="0"/>
    <w:pPr>
      <w:tabs>
        <w:tab w:val="left" w:pos="851"/>
      </w:tabs>
      <w:outlineLvl w:val="2"/>
    </w:pPr>
    <w:rPr>
      <w:rFonts w:hAnsi="宋体"/>
      <w:color w:val="FF0000"/>
    </w:rPr>
  </w:style>
  <w:style w:type="paragraph" w:customStyle="1" w:styleId="40">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41">
    <w:name w:val="List Paragraph"/>
    <w:basedOn w:val="1"/>
    <w:qFormat/>
    <w:uiPriority w:val="0"/>
    <w:pPr>
      <w:ind w:firstLine="420" w:firstLineChars="200"/>
    </w:pPr>
    <w:rPr>
      <w:rFonts w:ascii="Calibri" w:hAnsi="Calibri"/>
      <w:szCs w:val="22"/>
    </w:rPr>
  </w:style>
  <w:style w:type="paragraph" w:customStyle="1" w:styleId="42">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Char Char Char"/>
    <w:basedOn w:val="1"/>
    <w:qFormat/>
    <w:uiPriority w:val="0"/>
    <w:rPr>
      <w:rFonts w:ascii="Tahoma" w:hAnsi="Tahoma"/>
      <w:sz w:val="24"/>
      <w:szCs w:val="20"/>
    </w:rPr>
  </w:style>
  <w:style w:type="paragraph" w:customStyle="1" w:styleId="44">
    <w:name w:val="Char_0"/>
    <w:basedOn w:val="45"/>
    <w:qFormat/>
    <w:uiPriority w:val="0"/>
    <w:rPr>
      <w:rFonts w:ascii="Times New Roman" w:hAnsi="Times New Roman"/>
      <w:szCs w:val="24"/>
    </w:rPr>
  </w:style>
  <w:style w:type="paragraph" w:customStyle="1" w:styleId="4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目录"/>
    <w:basedOn w:val="1"/>
    <w:qFormat/>
    <w:uiPriority w:val="0"/>
    <w:pPr>
      <w:widowControl/>
      <w:jc w:val="center"/>
    </w:pPr>
    <w:rPr>
      <w:rFonts w:ascii="宋体"/>
      <w:b/>
      <w:kern w:val="0"/>
      <w:sz w:val="36"/>
    </w:rPr>
  </w:style>
  <w:style w:type="paragraph" w:customStyle="1" w:styleId="47">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49">
    <w:name w:val="样式2"/>
    <w:basedOn w:val="1"/>
    <w:link w:val="67"/>
    <w:qFormat/>
    <w:uiPriority w:val="0"/>
    <w:pPr>
      <w:spacing w:line="600" w:lineRule="exact"/>
    </w:pPr>
    <w:rPr>
      <w:rFonts w:ascii="仿宋_GB2312" w:hAnsi="宋体" w:eastAsia="仿宋_GB2312"/>
      <w:b/>
      <w:sz w:val="32"/>
      <w:szCs w:val="32"/>
    </w:rPr>
  </w:style>
  <w:style w:type="paragraph" w:customStyle="1" w:styleId="50">
    <w:name w:val="Char_0_0"/>
    <w:basedOn w:val="45"/>
    <w:qFormat/>
    <w:uiPriority w:val="0"/>
    <w:rPr>
      <w:rFonts w:ascii="Times New Roman" w:hAnsi="Times New Roman"/>
      <w:szCs w:val="24"/>
    </w:rPr>
  </w:style>
  <w:style w:type="paragraph" w:customStyle="1" w:styleId="51">
    <w:name w:val="正文空2格  1."/>
    <w:basedOn w:val="1"/>
    <w:qFormat/>
    <w:uiPriority w:val="0"/>
    <w:pPr>
      <w:ind w:firstLine="480" w:firstLineChars="200"/>
    </w:pPr>
    <w:rPr>
      <w:rFonts w:cs="宋体"/>
      <w:sz w:val="28"/>
      <w:szCs w:val="20"/>
    </w:rPr>
  </w:style>
  <w:style w:type="paragraph" w:customStyle="1" w:styleId="52">
    <w:name w:val="正文1"/>
    <w:qFormat/>
    <w:uiPriority w:val="0"/>
    <w:rPr>
      <w:rFonts w:ascii="Times New Roman" w:hAnsi="Times New Roman" w:eastAsia="Times New Roman" w:cs="Times New Roman"/>
      <w:sz w:val="24"/>
      <w:szCs w:val="24"/>
      <w:lang w:val="en-US" w:eastAsia="zh-CN" w:bidi="ar-SA"/>
    </w:rPr>
  </w:style>
  <w:style w:type="paragraph" w:customStyle="1" w:styleId="53">
    <w:name w:val="Char Char Char Char Char Char Char1 Char Char Char Char Char Char Char"/>
    <w:basedOn w:val="1"/>
    <w:qFormat/>
    <w:uiPriority w:val="0"/>
    <w:rPr>
      <w:rFonts w:ascii="Tahoma" w:hAnsi="Tahoma"/>
      <w:sz w:val="24"/>
      <w:szCs w:val="20"/>
    </w:rPr>
  </w:style>
  <w:style w:type="paragraph" w:customStyle="1" w:styleId="54">
    <w:name w:val="Char"/>
    <w:basedOn w:val="1"/>
    <w:qFormat/>
    <w:uiPriority w:val="0"/>
    <w:rPr>
      <w:rFonts w:ascii="Tahoma" w:hAnsi="Tahoma"/>
      <w:sz w:val="24"/>
      <w:szCs w:val="20"/>
    </w:rPr>
  </w:style>
  <w:style w:type="paragraph" w:customStyle="1" w:styleId="55">
    <w:name w:val="默认段落字体 Para Char Char Char Char Char Char Char Char Char1 Char Char Char Char Char Char Char Char"/>
    <w:basedOn w:val="9"/>
    <w:qFormat/>
    <w:uiPriority w:val="0"/>
  </w:style>
  <w:style w:type="paragraph" w:customStyle="1" w:styleId="56">
    <w:name w:val="1 Char"/>
    <w:basedOn w:val="1"/>
    <w:qFormat/>
    <w:uiPriority w:val="0"/>
    <w:pPr>
      <w:spacing w:line="360" w:lineRule="auto"/>
      <w:ind w:firstLine="200" w:firstLineChars="200"/>
    </w:pPr>
  </w:style>
  <w:style w:type="paragraph" w:customStyle="1" w:styleId="57">
    <w:name w:val="Normal_0"/>
    <w:qFormat/>
    <w:uiPriority w:val="0"/>
    <w:rPr>
      <w:rFonts w:ascii="Times New Roman" w:hAnsi="Times New Roman" w:eastAsia="Times New Roman" w:cs="Times New Roman"/>
      <w:sz w:val="24"/>
      <w:szCs w:val="24"/>
      <w:lang w:val="en-US" w:eastAsia="zh-CN" w:bidi="ar-SA"/>
    </w:rPr>
  </w:style>
  <w:style w:type="character" w:customStyle="1" w:styleId="58">
    <w:name w:val="页眉 字符"/>
    <w:link w:val="18"/>
    <w:qFormat/>
    <w:uiPriority w:val="99"/>
    <w:rPr>
      <w:kern w:val="2"/>
      <w:sz w:val="18"/>
      <w:szCs w:val="24"/>
    </w:rPr>
  </w:style>
  <w:style w:type="character" w:customStyle="1" w:styleId="59">
    <w:name w:val="日期 字符"/>
    <w:link w:val="14"/>
    <w:qFormat/>
    <w:uiPriority w:val="0"/>
    <w:rPr>
      <w:rFonts w:ascii="黑体" w:hAnsi="宋体" w:eastAsia="黑体"/>
      <w:b/>
      <w:bCs/>
      <w:color w:val="000000"/>
      <w:sz w:val="44"/>
      <w:szCs w:val="36"/>
    </w:rPr>
  </w:style>
  <w:style w:type="character" w:customStyle="1" w:styleId="60">
    <w:name w:val="正文文本 字符"/>
    <w:link w:val="11"/>
    <w:qFormat/>
    <w:uiPriority w:val="0"/>
    <w:rPr>
      <w:kern w:val="2"/>
      <w:sz w:val="21"/>
      <w:szCs w:val="24"/>
    </w:rPr>
  </w:style>
  <w:style w:type="character" w:customStyle="1" w:styleId="61">
    <w:name w:val="页脚 字符"/>
    <w:link w:val="17"/>
    <w:qFormat/>
    <w:uiPriority w:val="0"/>
    <w:rPr>
      <w:kern w:val="2"/>
      <w:sz w:val="18"/>
      <w:szCs w:val="24"/>
    </w:rPr>
  </w:style>
  <w:style w:type="character" w:customStyle="1" w:styleId="62">
    <w:name w:val="批注框文本 字符"/>
    <w:link w:val="16"/>
    <w:qFormat/>
    <w:uiPriority w:val="0"/>
    <w:rPr>
      <w:kern w:val="2"/>
      <w:sz w:val="18"/>
      <w:szCs w:val="18"/>
    </w:rPr>
  </w:style>
  <w:style w:type="character" w:customStyle="1" w:styleId="63">
    <w:name w:val="正文首行缩进 字符"/>
    <w:link w:val="22"/>
    <w:qFormat/>
    <w:uiPriority w:val="0"/>
    <w:rPr>
      <w:kern w:val="2"/>
      <w:sz w:val="21"/>
      <w:szCs w:val="24"/>
    </w:rPr>
  </w:style>
  <w:style w:type="character" w:customStyle="1" w:styleId="64">
    <w:name w:val="纯文本 字符"/>
    <w:link w:val="13"/>
    <w:qFormat/>
    <w:uiPriority w:val="0"/>
    <w:rPr>
      <w:rFonts w:ascii="宋体" w:hAnsi="Courier New"/>
      <w:kern w:val="2"/>
      <w:sz w:val="21"/>
    </w:rPr>
  </w:style>
  <w:style w:type="character" w:customStyle="1" w:styleId="65">
    <w:name w:val="标题 1 字符"/>
    <w:link w:val="5"/>
    <w:qFormat/>
    <w:uiPriority w:val="0"/>
    <w:rPr>
      <w:b/>
      <w:bCs/>
      <w:kern w:val="44"/>
      <w:sz w:val="44"/>
      <w:szCs w:val="44"/>
    </w:rPr>
  </w:style>
  <w:style w:type="character" w:customStyle="1" w:styleId="66">
    <w:name w:val="页眉 Char1"/>
    <w:qFormat/>
    <w:uiPriority w:val="99"/>
    <w:rPr>
      <w:kern w:val="2"/>
      <w:sz w:val="18"/>
      <w:szCs w:val="18"/>
    </w:rPr>
  </w:style>
  <w:style w:type="character" w:customStyle="1" w:styleId="67">
    <w:name w:val="样式2 Char Char"/>
    <w:link w:val="49"/>
    <w:qFormat/>
    <w:uiPriority w:val="0"/>
    <w:rPr>
      <w:rFonts w:ascii="仿宋_GB2312" w:hAnsi="宋体" w:eastAsia="仿宋_GB2312"/>
      <w:b/>
      <w:kern w:val="2"/>
      <w:sz w:val="32"/>
      <w:szCs w:val="32"/>
    </w:rPr>
  </w:style>
  <w:style w:type="character" w:customStyle="1" w:styleId="68">
    <w:name w:val="批注文字 字符"/>
    <w:link w:val="10"/>
    <w:qFormat/>
    <w:uiPriority w:val="0"/>
    <w:rPr>
      <w:kern w:val="2"/>
      <w:sz w:val="21"/>
      <w:szCs w:val="24"/>
    </w:rPr>
  </w:style>
  <w:style w:type="character" w:customStyle="1" w:styleId="69">
    <w:name w:val="文档结构图 字符"/>
    <w:link w:val="9"/>
    <w:qFormat/>
    <w:uiPriority w:val="0"/>
    <w:rPr>
      <w:kern w:val="2"/>
      <w:sz w:val="21"/>
      <w:szCs w:val="24"/>
      <w:shd w:val="clear" w:color="auto" w:fill="000080"/>
    </w:rPr>
  </w:style>
  <w:style w:type="character" w:customStyle="1" w:styleId="70">
    <w:name w:val="标题 3 字符"/>
    <w:link w:val="7"/>
    <w:qFormat/>
    <w:uiPriority w:val="0"/>
    <w:rPr>
      <w:b/>
      <w:bCs/>
      <w:kern w:val="2"/>
      <w:sz w:val="32"/>
      <w:szCs w:val="32"/>
    </w:rPr>
  </w:style>
  <w:style w:type="character" w:customStyle="1" w:styleId="71">
    <w:name w:val="正文文本缩进 2 字符"/>
    <w:link w:val="15"/>
    <w:qFormat/>
    <w:uiPriority w:val="0"/>
    <w:rPr>
      <w:kern w:val="2"/>
      <w:sz w:val="21"/>
      <w:szCs w:val="24"/>
    </w:rPr>
  </w:style>
  <w:style w:type="character" w:customStyle="1" w:styleId="72">
    <w:name w:val="正文文本缩进 字符"/>
    <w:link w:val="3"/>
    <w:qFormat/>
    <w:uiPriority w:val="0"/>
    <w:rPr>
      <w:rFonts w:ascii="仿宋_GB2312" w:eastAsia="仿宋_GB2312"/>
      <w:kern w:val="2"/>
      <w:sz w:val="24"/>
      <w:szCs w:val="21"/>
    </w:rPr>
  </w:style>
  <w:style w:type="character" w:customStyle="1" w:styleId="73">
    <w:name w:val="标题 2 字符"/>
    <w:link w:val="6"/>
    <w:qFormat/>
    <w:uiPriority w:val="0"/>
    <w:rPr>
      <w:rFonts w:ascii="Arial" w:hAnsi="Arial" w:eastAsia="黑体"/>
      <w:b/>
      <w:bCs/>
      <w:kern w:val="2"/>
      <w:sz w:val="32"/>
      <w:szCs w:val="32"/>
    </w:rPr>
  </w:style>
  <w:style w:type="paragraph" w:customStyle="1" w:styleId="7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0正文"/>
    <w:basedOn w:val="1"/>
    <w:qFormat/>
    <w:uiPriority w:val="0"/>
    <w:pPr>
      <w:adjustRightInd w:val="0"/>
      <w:spacing w:line="360" w:lineRule="auto"/>
      <w:ind w:firstLine="420" w:firstLineChars="200"/>
      <w:textAlignment w:val="baseline"/>
    </w:pPr>
    <w:rPr>
      <w:rFonts w:ascii="宋体" w:hAnsi="宋体"/>
      <w:kern w:val="0"/>
      <w:sz w:val="20"/>
      <w:szCs w:val="21"/>
    </w:rPr>
  </w:style>
  <w:style w:type="paragraph" w:customStyle="1" w:styleId="76">
    <w:name w:val="列出段落3"/>
    <w:basedOn w:val="1"/>
    <w:qFormat/>
    <w:uiPriority w:val="99"/>
    <w:pPr>
      <w:ind w:firstLine="420" w:firstLineChars="200"/>
    </w:pPr>
    <w:rPr>
      <w:rFonts w:ascii="Calibri" w:hAnsi="Calibri"/>
      <w:szCs w:val="22"/>
    </w:rPr>
  </w:style>
  <w:style w:type="paragraph" w:customStyle="1" w:styleId="77">
    <w:name w:val="--规划正文"/>
    <w:basedOn w:val="1"/>
    <w:qFormat/>
    <w:uiPriority w:val="0"/>
    <w:pPr>
      <w:spacing w:line="360" w:lineRule="auto"/>
      <w:ind w:firstLine="200" w:firstLineChars="200"/>
    </w:pPr>
    <w:rPr>
      <w:szCs w:val="20"/>
    </w:rPr>
  </w:style>
  <w:style w:type="paragraph" w:customStyle="1" w:styleId="78">
    <w:name w:val="无间隔1"/>
    <w:qFormat/>
    <w:uiPriority w:val="99"/>
    <w:pPr>
      <w:adjustRightInd w:val="0"/>
      <w:snapToGrid w:val="0"/>
    </w:pPr>
    <w:rPr>
      <w:rFonts w:ascii="Tahoma" w:hAnsi="Tahoma" w:eastAsia="仿宋_GB2312" w:cs="Times New Roman"/>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2532</Words>
  <Characters>14436</Characters>
  <Lines>120</Lines>
  <Paragraphs>33</Paragraphs>
  <TotalTime>0</TotalTime>
  <ScaleCrop>false</ScaleCrop>
  <LinksUpToDate>false</LinksUpToDate>
  <CharactersWithSpaces>16935</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2020-04-27T14:06:00Z</dcterms:created>
  <dc:creator>Administrator</dc:creator>
  <cp:lastModifiedBy>擱淺、呐囘憶°</cp:lastModifiedBy>
  <cp:lastPrinted>2020-05-06T01:27:00Z</cp:lastPrinted>
  <dcterms:modified xsi:type="dcterms:W3CDTF">2020-05-08T08:06:53Z</dcterms:modified>
  <dc:title>芜湖市轨道交通2号线一期PPP项目咨询服务招标需求(暂定）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